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80" w:lineRule="atLeast"/>
        <w:jc w:val="center"/>
        <w:rPr>
          <w:rFonts w:hint="eastAsia" w:ascii="宋体" w:hAnsi="宋体" w:cs="宋体"/>
          <w:b/>
          <w:bCs/>
          <w:kern w:val="0"/>
          <w:sz w:val="24"/>
        </w:rPr>
      </w:pPr>
      <w:r>
        <w:rPr>
          <w:rFonts w:hint="eastAsia" w:ascii="黑体" w:hAnsi="宋体" w:eastAsia="黑体" w:cs="宋体"/>
          <w:b/>
          <w:bCs/>
          <w:kern w:val="0"/>
          <w:sz w:val="24"/>
          <w:lang w:eastAsia="zh-CN"/>
        </w:rPr>
        <w:t>长安益阳发电有限</w:t>
      </w:r>
      <w:r>
        <w:rPr>
          <w:rFonts w:hint="eastAsia" w:ascii="黑体" w:hAnsi="宋体" w:eastAsia="黑体" w:cs="宋体"/>
          <w:b/>
          <w:bCs/>
          <w:kern w:val="0"/>
          <w:sz w:val="24"/>
        </w:rPr>
        <w:t>公司电煤招标</w:t>
      </w:r>
      <w:r>
        <w:rPr>
          <w:rFonts w:hint="eastAsia" w:ascii="黑体" w:hAnsi="宋体" w:eastAsia="黑体" w:cs="宋体"/>
          <w:b/>
          <w:bCs/>
          <w:kern w:val="0"/>
          <w:sz w:val="24"/>
          <w:lang w:eastAsia="zh-CN"/>
        </w:rPr>
        <w:t>公告</w:t>
      </w:r>
    </w:p>
    <w:p>
      <w:pPr>
        <w:widowControl/>
        <w:spacing w:line="360" w:lineRule="atLeast"/>
        <w:jc w:val="center"/>
        <w:rPr>
          <w:rFonts w:hint="eastAsia" w:ascii="宋体" w:hAnsi="宋体" w:cs="宋体"/>
          <w:kern w:val="0"/>
          <w:sz w:val="24"/>
        </w:rPr>
      </w:pPr>
      <w:r>
        <w:rPr>
          <w:rFonts w:ascii="黑体" w:hAnsi="宋体" w:eastAsia="黑体" w:cs="宋体"/>
          <w:kern w:val="0"/>
          <w:sz w:val="30"/>
        </w:rPr>
        <w:t>报  价  一  览  表</w:t>
      </w:r>
    </w:p>
    <w:p>
      <w:pPr>
        <w:widowControl/>
        <w:spacing w:line="280" w:lineRule="atLeast"/>
        <w:ind w:firstLine="525" w:firstLineChars="250"/>
        <w:rPr>
          <w:rFonts w:hint="eastAsia" w:ascii="宋体" w:hAnsi="宋体" w:cs="宋体"/>
          <w:kern w:val="0"/>
          <w:sz w:val="24"/>
        </w:rPr>
      </w:pPr>
      <w:r>
        <w:rPr>
          <w:rFonts w:hint="eastAsia" w:ascii="黑体" w:hAnsi="宋体" w:eastAsia="黑体" w:cs="宋体"/>
          <w:kern w:val="0"/>
          <w:szCs w:val="21"/>
        </w:rPr>
        <w:t xml:space="preserve">     电煤供应时段：</w:t>
      </w:r>
      <w:r>
        <w:rPr>
          <w:rFonts w:hint="eastAsia" w:ascii="黑体" w:hAnsi="宋体" w:eastAsia="黑体" w:cs="宋体"/>
          <w:b/>
          <w:bCs/>
          <w:kern w:val="0"/>
          <w:szCs w:val="21"/>
        </w:rPr>
        <w:t>（2</w:t>
      </w:r>
      <w:r>
        <w:rPr>
          <w:rFonts w:hint="eastAsia" w:ascii="黑体" w:hAnsi="宋体" w:eastAsia="黑体" w:cs="宋体"/>
          <w:b/>
          <w:bCs/>
          <w:kern w:val="0"/>
        </w:rPr>
        <w:t>01</w:t>
      </w:r>
      <w:r>
        <w:rPr>
          <w:rFonts w:hint="eastAsia" w:ascii="黑体" w:hAnsi="宋体" w:eastAsia="黑体" w:cs="宋体"/>
          <w:b/>
          <w:bCs/>
          <w:kern w:val="0"/>
          <w:lang w:val="en-US" w:eastAsia="zh-CN"/>
        </w:rPr>
        <w:t>7</w:t>
      </w:r>
      <w:r>
        <w:rPr>
          <w:rFonts w:hint="eastAsia" w:ascii="黑体" w:hAnsi="宋体" w:eastAsia="黑体" w:cs="宋体"/>
          <w:b/>
          <w:bCs/>
          <w:kern w:val="0"/>
        </w:rPr>
        <w:t>年</w:t>
      </w:r>
      <w:r>
        <w:rPr>
          <w:rFonts w:hint="eastAsia" w:ascii="黑体" w:hAnsi="宋体" w:eastAsia="黑体" w:cs="宋体"/>
          <w:b/>
          <w:bCs/>
          <w:kern w:val="0"/>
          <w:lang w:val="en-US" w:eastAsia="zh-CN"/>
        </w:rPr>
        <w:t>3</w:t>
      </w:r>
      <w:r>
        <w:rPr>
          <w:rFonts w:hint="eastAsia" w:ascii="黑体" w:hAnsi="宋体" w:eastAsia="黑体" w:cs="宋体"/>
          <w:b/>
          <w:bCs/>
          <w:kern w:val="0"/>
        </w:rPr>
        <w:t>月</w:t>
      </w:r>
      <w:r>
        <w:rPr>
          <w:rFonts w:hint="eastAsia" w:ascii="黑体" w:hAnsi="宋体" w:eastAsia="黑体" w:cs="宋体"/>
          <w:b/>
          <w:bCs/>
          <w:kern w:val="0"/>
          <w:lang w:val="en-US" w:eastAsia="zh-CN"/>
        </w:rPr>
        <w:t>1</w:t>
      </w:r>
      <w:r>
        <w:rPr>
          <w:rFonts w:hint="eastAsia" w:ascii="黑体" w:hAnsi="宋体" w:eastAsia="黑体" w:cs="宋体"/>
          <w:b/>
          <w:bCs/>
          <w:kern w:val="0"/>
        </w:rPr>
        <w:t>日-201</w:t>
      </w:r>
      <w:r>
        <w:rPr>
          <w:rFonts w:hint="eastAsia" w:ascii="黑体" w:hAnsi="宋体" w:eastAsia="黑体" w:cs="宋体"/>
          <w:b/>
          <w:bCs/>
          <w:kern w:val="0"/>
          <w:lang w:val="en-US" w:eastAsia="zh-CN"/>
        </w:rPr>
        <w:t>7</w:t>
      </w:r>
      <w:r>
        <w:rPr>
          <w:rFonts w:hint="eastAsia" w:ascii="黑体" w:hAnsi="宋体" w:eastAsia="黑体" w:cs="宋体"/>
          <w:b/>
          <w:bCs/>
          <w:kern w:val="0"/>
        </w:rPr>
        <w:t>年</w:t>
      </w:r>
      <w:r>
        <w:rPr>
          <w:rFonts w:hint="eastAsia" w:ascii="黑体" w:hAnsi="宋体" w:eastAsia="黑体" w:cs="宋体"/>
          <w:b/>
          <w:bCs/>
          <w:kern w:val="0"/>
          <w:lang w:val="en-US" w:eastAsia="zh-CN"/>
        </w:rPr>
        <w:t>3</w:t>
      </w:r>
      <w:r>
        <w:rPr>
          <w:rFonts w:hint="eastAsia" w:ascii="黑体" w:hAnsi="宋体" w:eastAsia="黑体" w:cs="宋体"/>
          <w:b/>
          <w:bCs/>
          <w:kern w:val="0"/>
        </w:rPr>
        <w:t>月</w:t>
      </w:r>
      <w:r>
        <w:rPr>
          <w:rFonts w:hint="eastAsia" w:ascii="黑体" w:hAnsi="宋体" w:eastAsia="黑体" w:cs="宋体"/>
          <w:b/>
          <w:bCs/>
          <w:kern w:val="0"/>
          <w:lang w:val="en-US" w:eastAsia="zh-CN"/>
        </w:rPr>
        <w:t>31</w:t>
      </w:r>
      <w:r>
        <w:rPr>
          <w:rFonts w:hint="eastAsia" w:ascii="黑体" w:hAnsi="宋体" w:eastAsia="黑体" w:cs="宋体"/>
          <w:b/>
          <w:bCs/>
          <w:kern w:val="0"/>
        </w:rPr>
        <w:t>日）</w:t>
      </w:r>
      <w:r>
        <w:rPr>
          <w:rFonts w:ascii="黑体" w:hAnsi="宋体" w:eastAsia="黑体" w:cs="宋体"/>
          <w:kern w:val="0"/>
        </w:rPr>
        <w:t>       </w:t>
      </w:r>
      <w:r>
        <w:rPr>
          <w:rFonts w:hint="eastAsia" w:ascii="黑体" w:hAnsi="宋体" w:eastAsia="黑体" w:cs="宋体"/>
          <w:kern w:val="0"/>
        </w:rPr>
        <w:t xml:space="preserve">        投标人授权代表签字：           投标单位公章：</w:t>
      </w:r>
    </w:p>
    <w:tbl>
      <w:tblPr>
        <w:tblStyle w:val="5"/>
        <w:tblW w:w="13320" w:type="dxa"/>
        <w:jc w:val="center"/>
        <w:tblInd w:w="-5" w:type="dxa"/>
        <w:tblLayout w:type="fixed"/>
        <w:tblCellMar>
          <w:top w:w="0" w:type="dxa"/>
          <w:left w:w="0" w:type="dxa"/>
          <w:bottom w:w="0" w:type="dxa"/>
          <w:right w:w="0" w:type="dxa"/>
        </w:tblCellMar>
      </w:tblPr>
      <w:tblGrid>
        <w:gridCol w:w="983"/>
        <w:gridCol w:w="1502"/>
        <w:gridCol w:w="1801"/>
        <w:gridCol w:w="1665"/>
        <w:gridCol w:w="954"/>
        <w:gridCol w:w="1337"/>
        <w:gridCol w:w="818"/>
        <w:gridCol w:w="445"/>
        <w:gridCol w:w="898"/>
        <w:gridCol w:w="1260"/>
        <w:gridCol w:w="1657"/>
      </w:tblGrid>
      <w:tr>
        <w:tblPrEx>
          <w:tblLayout w:type="fixed"/>
          <w:tblCellMar>
            <w:top w:w="0" w:type="dxa"/>
            <w:left w:w="0" w:type="dxa"/>
            <w:bottom w:w="0" w:type="dxa"/>
            <w:right w:w="0" w:type="dxa"/>
          </w:tblCellMar>
        </w:tblPrEx>
        <w:trPr>
          <w:trHeight w:val="449" w:hRule="atLeast"/>
          <w:jc w:val="center"/>
        </w:trPr>
        <w:tc>
          <w:tcPr>
            <w:tcW w:w="983" w:type="dxa"/>
            <w:vMerge w:val="restart"/>
            <w:tcBorders>
              <w:top w:val="single" w:color="000000" w:sz="4" w:space="0"/>
              <w:left w:val="single" w:color="000000" w:sz="4" w:space="0"/>
              <w:right w:val="single" w:color="auto" w:sz="4" w:space="0"/>
            </w:tcBorders>
            <w:vAlign w:val="center"/>
          </w:tcPr>
          <w:p>
            <w:pPr>
              <w:widowControl/>
              <w:spacing w:line="280" w:lineRule="atLeast"/>
              <w:jc w:val="center"/>
              <w:rPr>
                <w:rFonts w:hint="eastAsia" w:ascii="宋体" w:hAnsi="宋体" w:cs="宋体"/>
                <w:kern w:val="0"/>
                <w:szCs w:val="21"/>
              </w:rPr>
            </w:pPr>
            <w:r>
              <w:rPr>
                <w:rFonts w:hint="eastAsia" w:ascii="宋体" w:hAnsi="宋体" w:cs="宋体"/>
                <w:kern w:val="0"/>
                <w:szCs w:val="21"/>
              </w:rPr>
              <w:t>接收电厂</w:t>
            </w:r>
          </w:p>
        </w:tc>
        <w:tc>
          <w:tcPr>
            <w:tcW w:w="1502" w:type="dxa"/>
            <w:vMerge w:val="restart"/>
            <w:tcBorders>
              <w:top w:val="single" w:color="000000" w:sz="4" w:space="0"/>
              <w:left w:val="single" w:color="auto" w:sz="4" w:space="0"/>
              <w:right w:val="single" w:color="000000" w:sz="4" w:space="0"/>
            </w:tcBorders>
            <w:vAlign w:val="center"/>
          </w:tcPr>
          <w:p>
            <w:pPr>
              <w:spacing w:line="280" w:lineRule="atLeast"/>
              <w:jc w:val="center"/>
              <w:rPr>
                <w:rFonts w:ascii="宋体" w:hAnsi="宋体" w:cs="宋体"/>
                <w:kern w:val="0"/>
                <w:sz w:val="24"/>
              </w:rPr>
            </w:pPr>
            <w:r>
              <w:rPr>
                <w:rFonts w:ascii="黑体" w:hAnsi="宋体" w:eastAsia="黑体" w:cs="宋体"/>
                <w:kern w:val="0"/>
              </w:rPr>
              <w:t>数量</w:t>
            </w:r>
            <w:r>
              <w:rPr>
                <w:rFonts w:hint="eastAsia" w:ascii="黑体" w:hAnsi="宋体" w:eastAsia="黑体" w:cs="宋体"/>
                <w:kern w:val="0"/>
              </w:rPr>
              <w:t xml:space="preserve">   </w:t>
            </w:r>
            <w:r>
              <w:rPr>
                <w:rFonts w:ascii="黑体" w:hAnsi="宋体" w:eastAsia="黑体" w:cs="宋体"/>
                <w:kern w:val="0"/>
              </w:rPr>
              <w:t>(万吨)</w:t>
            </w:r>
          </w:p>
        </w:tc>
        <w:tc>
          <w:tcPr>
            <w:tcW w:w="6575" w:type="dxa"/>
            <w:gridSpan w:val="5"/>
            <w:tcBorders>
              <w:top w:val="single" w:color="000000" w:sz="4" w:space="0"/>
              <w:left w:val="single" w:color="000000" w:sz="4" w:space="0"/>
              <w:bottom w:val="single" w:color="auto" w:sz="4" w:space="0"/>
              <w:right w:val="single" w:color="auto" w:sz="4" w:space="0"/>
            </w:tcBorders>
            <w:tcMar>
              <w:top w:w="0" w:type="dxa"/>
              <w:left w:w="80" w:type="dxa"/>
              <w:bottom w:w="0" w:type="dxa"/>
              <w:right w:w="0" w:type="dxa"/>
            </w:tcMar>
            <w:vAlign w:val="center"/>
          </w:tcPr>
          <w:p>
            <w:pPr>
              <w:spacing w:line="280" w:lineRule="atLeast"/>
              <w:jc w:val="center"/>
              <w:rPr>
                <w:rFonts w:hint="eastAsia" w:ascii="黑体" w:hAnsi="宋体" w:eastAsia="黑体" w:cs="宋体"/>
                <w:kern w:val="0"/>
                <w:szCs w:val="21"/>
              </w:rPr>
            </w:pPr>
            <w:r>
              <w:rPr>
                <w:rFonts w:hint="eastAsia" w:ascii="黑体" w:hAnsi="宋体" w:eastAsia="黑体" w:cs="宋体"/>
                <w:kern w:val="0"/>
                <w:szCs w:val="21"/>
              </w:rPr>
              <w:t>质量要求</w:t>
            </w:r>
          </w:p>
        </w:tc>
        <w:tc>
          <w:tcPr>
            <w:tcW w:w="445" w:type="dxa"/>
            <w:vMerge w:val="restart"/>
            <w:tcBorders>
              <w:top w:val="single" w:color="000000" w:sz="4" w:space="0"/>
              <w:left w:val="single" w:color="auto" w:sz="4" w:space="0"/>
              <w:right w:val="single" w:color="auto" w:sz="4" w:space="0"/>
            </w:tcBorders>
            <w:tcMar>
              <w:top w:w="0" w:type="dxa"/>
              <w:left w:w="80" w:type="dxa"/>
              <w:bottom w:w="0" w:type="dxa"/>
              <w:right w:w="0" w:type="dxa"/>
            </w:tcMar>
            <w:vAlign w:val="center"/>
          </w:tcPr>
          <w:p>
            <w:pPr>
              <w:widowControl/>
              <w:spacing w:line="280" w:lineRule="atLeast"/>
              <w:jc w:val="center"/>
              <w:rPr>
                <w:rFonts w:hint="eastAsia" w:ascii="宋体" w:hAnsi="宋体" w:cs="宋体"/>
                <w:kern w:val="0"/>
                <w:sz w:val="18"/>
                <w:szCs w:val="18"/>
              </w:rPr>
            </w:pPr>
            <w:r>
              <w:rPr>
                <w:rFonts w:hint="eastAsia" w:ascii="宋体" w:hAnsi="宋体" w:cs="宋体"/>
                <w:kern w:val="0"/>
                <w:sz w:val="18"/>
                <w:szCs w:val="18"/>
              </w:rPr>
              <w:t>煤种</w:t>
            </w:r>
          </w:p>
        </w:tc>
        <w:tc>
          <w:tcPr>
            <w:tcW w:w="898" w:type="dxa"/>
            <w:vMerge w:val="restart"/>
            <w:tcBorders>
              <w:top w:val="single" w:color="000000" w:sz="4" w:space="0"/>
              <w:left w:val="single" w:color="auto" w:sz="4" w:space="0"/>
              <w:right w:val="single" w:color="auto" w:sz="4" w:space="0"/>
            </w:tcBorders>
            <w:vAlign w:val="center"/>
          </w:tcPr>
          <w:p>
            <w:pPr>
              <w:widowControl/>
              <w:spacing w:line="280" w:lineRule="atLeast"/>
              <w:jc w:val="center"/>
              <w:rPr>
                <w:rFonts w:hint="eastAsia" w:ascii="宋体" w:hAnsi="宋体" w:cs="宋体"/>
                <w:kern w:val="0"/>
                <w:sz w:val="18"/>
                <w:szCs w:val="18"/>
              </w:rPr>
            </w:pPr>
            <w:r>
              <w:rPr>
                <w:rFonts w:hint="eastAsia" w:ascii="宋体" w:hAnsi="宋体" w:cs="宋体"/>
                <w:kern w:val="0"/>
                <w:sz w:val="18"/>
                <w:szCs w:val="18"/>
              </w:rPr>
              <w:t>原煤/混煤</w:t>
            </w:r>
          </w:p>
        </w:tc>
        <w:tc>
          <w:tcPr>
            <w:tcW w:w="1260" w:type="dxa"/>
            <w:vMerge w:val="restart"/>
            <w:tcBorders>
              <w:top w:val="single" w:color="000000" w:sz="4" w:space="0"/>
              <w:left w:val="single" w:color="auto" w:sz="4" w:space="0"/>
              <w:right w:val="single" w:color="000000" w:sz="4" w:space="0"/>
            </w:tcBorders>
            <w:vAlign w:val="center"/>
          </w:tcPr>
          <w:p>
            <w:pPr>
              <w:widowControl/>
              <w:spacing w:line="280" w:lineRule="atLeast"/>
              <w:jc w:val="center"/>
              <w:rPr>
                <w:rFonts w:hint="eastAsia" w:ascii="宋体" w:hAnsi="宋体" w:cs="宋体"/>
                <w:kern w:val="0"/>
                <w:sz w:val="24"/>
              </w:rPr>
            </w:pPr>
            <w:r>
              <w:rPr>
                <w:rFonts w:hint="eastAsia" w:ascii="黑体" w:hAnsi="宋体" w:eastAsia="黑体" w:cs="宋体"/>
                <w:kern w:val="0"/>
              </w:rPr>
              <w:t>报价（元/吨）</w:t>
            </w:r>
          </w:p>
        </w:tc>
        <w:tc>
          <w:tcPr>
            <w:tcW w:w="1657" w:type="dxa"/>
            <w:vMerge w:val="restart"/>
            <w:tcBorders>
              <w:top w:val="single" w:color="000000" w:sz="4" w:space="0"/>
              <w:left w:val="single" w:color="auto" w:sz="4" w:space="0"/>
              <w:right w:val="single" w:color="000000" w:sz="4" w:space="0"/>
            </w:tcBorders>
            <w:vAlign w:val="center"/>
          </w:tcPr>
          <w:p>
            <w:pPr>
              <w:widowControl/>
              <w:spacing w:line="280" w:lineRule="atLeast"/>
              <w:jc w:val="center"/>
              <w:rPr>
                <w:rFonts w:hint="eastAsia" w:ascii="宋体" w:hAnsi="宋体" w:cs="宋体"/>
                <w:kern w:val="0"/>
                <w:sz w:val="24"/>
              </w:rPr>
            </w:pPr>
            <w:r>
              <w:rPr>
                <w:rFonts w:hint="eastAsia" w:ascii="黑体" w:hAnsi="宋体" w:eastAsia="黑体" w:cs="宋体"/>
                <w:kern w:val="0"/>
                <w:szCs w:val="21"/>
              </w:rPr>
              <w:t>注明到何电厂及到达时间</w:t>
            </w:r>
          </w:p>
        </w:tc>
      </w:tr>
      <w:tr>
        <w:tblPrEx>
          <w:tblLayout w:type="fixed"/>
          <w:tblCellMar>
            <w:top w:w="0" w:type="dxa"/>
            <w:left w:w="0" w:type="dxa"/>
            <w:bottom w:w="0" w:type="dxa"/>
            <w:right w:w="0" w:type="dxa"/>
          </w:tblCellMar>
        </w:tblPrEx>
        <w:trPr>
          <w:trHeight w:val="305" w:hRule="atLeast"/>
          <w:jc w:val="center"/>
        </w:trPr>
        <w:tc>
          <w:tcPr>
            <w:tcW w:w="983" w:type="dxa"/>
            <w:vMerge w:val="continue"/>
            <w:tcBorders>
              <w:left w:val="single" w:color="000000" w:sz="4" w:space="0"/>
              <w:bottom w:val="single" w:color="auto" w:sz="4" w:space="0"/>
              <w:right w:val="single" w:color="auto" w:sz="4" w:space="0"/>
            </w:tcBorders>
            <w:vAlign w:val="center"/>
          </w:tcPr>
          <w:p>
            <w:pPr>
              <w:spacing w:line="280" w:lineRule="atLeast"/>
              <w:jc w:val="center"/>
              <w:rPr>
                <w:rFonts w:ascii="宋体" w:hAnsi="宋体" w:cs="宋体"/>
                <w:kern w:val="0"/>
                <w:sz w:val="24"/>
              </w:rPr>
            </w:pPr>
          </w:p>
        </w:tc>
        <w:tc>
          <w:tcPr>
            <w:tcW w:w="1502" w:type="dxa"/>
            <w:vMerge w:val="continue"/>
            <w:tcBorders>
              <w:left w:val="single" w:color="auto" w:sz="4" w:space="0"/>
              <w:bottom w:val="single" w:color="auto" w:sz="4" w:space="0"/>
              <w:right w:val="single" w:color="000000" w:sz="4" w:space="0"/>
            </w:tcBorders>
            <w:vAlign w:val="center"/>
          </w:tcPr>
          <w:p>
            <w:pPr>
              <w:spacing w:line="280" w:lineRule="atLeast"/>
              <w:jc w:val="center"/>
              <w:rPr>
                <w:rFonts w:ascii="宋体" w:hAnsi="宋体" w:cs="宋体"/>
                <w:kern w:val="0"/>
                <w:sz w:val="24"/>
              </w:rPr>
            </w:pPr>
          </w:p>
        </w:tc>
        <w:tc>
          <w:tcPr>
            <w:tcW w:w="1801" w:type="dxa"/>
            <w:tcBorders>
              <w:top w:val="single" w:color="auto" w:sz="4" w:space="0"/>
              <w:left w:val="single" w:color="000000" w:sz="4" w:space="0"/>
              <w:right w:val="single" w:color="auto" w:sz="4" w:space="0"/>
            </w:tcBorders>
            <w:vAlign w:val="top"/>
          </w:tcPr>
          <w:p>
            <w:pPr>
              <w:spacing w:line="240" w:lineRule="atLeast"/>
              <w:jc w:val="center"/>
              <w:rPr>
                <w:rFonts w:hint="eastAsia" w:ascii="黑体" w:hAnsi="宋体" w:eastAsia="黑体" w:cs="宋体"/>
                <w:kern w:val="0"/>
                <w:sz w:val="18"/>
              </w:rPr>
            </w:pPr>
            <w:r>
              <w:rPr>
                <w:rFonts w:hint="eastAsia" w:ascii="黑体" w:hAnsi="宋体" w:eastAsia="黑体" w:cs="宋体"/>
                <w:kern w:val="0"/>
                <w:sz w:val="18"/>
              </w:rPr>
              <w:t>收到基低位热值</w:t>
            </w:r>
          </w:p>
        </w:tc>
        <w:tc>
          <w:tcPr>
            <w:tcW w:w="1665" w:type="dxa"/>
            <w:tcBorders>
              <w:top w:val="single" w:color="auto" w:sz="4" w:space="0"/>
              <w:left w:val="single" w:color="auto" w:sz="4" w:space="0"/>
              <w:right w:val="single" w:color="auto" w:sz="4" w:space="0"/>
            </w:tcBorders>
            <w:vAlign w:val="top"/>
          </w:tcPr>
          <w:p>
            <w:pPr>
              <w:spacing w:line="240" w:lineRule="atLeast"/>
              <w:jc w:val="center"/>
              <w:rPr>
                <w:rFonts w:hint="eastAsia" w:ascii="黑体" w:hAnsi="宋体" w:eastAsia="黑体" w:cs="宋体"/>
                <w:kern w:val="0"/>
                <w:sz w:val="18"/>
              </w:rPr>
            </w:pPr>
            <w:r>
              <w:rPr>
                <w:rFonts w:hint="eastAsia" w:ascii="黑体" w:hAnsi="宋体" w:eastAsia="黑体" w:cs="宋体"/>
                <w:kern w:val="0"/>
                <w:sz w:val="18"/>
                <w:lang w:eastAsia="zh-CN"/>
              </w:rPr>
              <w:t>干燥无灰基</w:t>
            </w:r>
            <w:r>
              <w:rPr>
                <w:rFonts w:hint="eastAsia" w:ascii="黑体" w:hAnsi="宋体" w:eastAsia="黑体" w:cs="宋体"/>
                <w:kern w:val="0"/>
                <w:sz w:val="18"/>
              </w:rPr>
              <w:t>基挥发份</w:t>
            </w:r>
          </w:p>
        </w:tc>
        <w:tc>
          <w:tcPr>
            <w:tcW w:w="954" w:type="dxa"/>
            <w:tcBorders>
              <w:top w:val="single" w:color="auto" w:sz="4" w:space="0"/>
              <w:left w:val="single" w:color="auto" w:sz="4" w:space="0"/>
              <w:right w:val="single" w:color="auto" w:sz="4" w:space="0"/>
            </w:tcBorders>
            <w:vAlign w:val="top"/>
          </w:tcPr>
          <w:p>
            <w:pPr>
              <w:spacing w:line="280" w:lineRule="atLeast"/>
              <w:jc w:val="center"/>
              <w:rPr>
                <w:rFonts w:ascii="宋体" w:hAnsi="宋体" w:cs="宋体"/>
                <w:kern w:val="0"/>
                <w:sz w:val="24"/>
              </w:rPr>
            </w:pPr>
            <w:r>
              <w:rPr>
                <w:rFonts w:hint="eastAsia" w:ascii="黑体" w:hAnsi="宋体" w:eastAsia="黑体" w:cs="宋体"/>
                <w:kern w:val="0"/>
                <w:sz w:val="18"/>
              </w:rPr>
              <w:t>收到基全水</w:t>
            </w:r>
          </w:p>
        </w:tc>
        <w:tc>
          <w:tcPr>
            <w:tcW w:w="1337" w:type="dxa"/>
            <w:tcBorders>
              <w:top w:val="single" w:color="auto" w:sz="4" w:space="0"/>
              <w:left w:val="single" w:color="auto" w:sz="4" w:space="0"/>
              <w:right w:val="single" w:color="auto" w:sz="4" w:space="0"/>
            </w:tcBorders>
            <w:vAlign w:val="top"/>
          </w:tcPr>
          <w:p>
            <w:pPr>
              <w:spacing w:line="240" w:lineRule="atLeast"/>
              <w:jc w:val="center"/>
              <w:rPr>
                <w:rFonts w:hint="eastAsia" w:ascii="黑体" w:hAnsi="宋体" w:eastAsia="黑体" w:cs="宋体"/>
                <w:kern w:val="0"/>
                <w:sz w:val="18"/>
              </w:rPr>
            </w:pPr>
            <w:r>
              <w:rPr>
                <w:rFonts w:hint="eastAsia" w:ascii="黑体" w:hAnsi="宋体" w:eastAsia="黑体" w:cs="宋体"/>
                <w:kern w:val="0"/>
                <w:sz w:val="18"/>
                <w:lang w:eastAsia="zh-CN"/>
              </w:rPr>
              <w:t>空干基</w:t>
            </w:r>
            <w:r>
              <w:rPr>
                <w:rFonts w:hint="eastAsia" w:ascii="黑体" w:hAnsi="宋体" w:eastAsia="黑体" w:cs="宋体"/>
                <w:kern w:val="0"/>
                <w:sz w:val="18"/>
              </w:rPr>
              <w:t>基全硫</w:t>
            </w:r>
          </w:p>
        </w:tc>
        <w:tc>
          <w:tcPr>
            <w:tcW w:w="818" w:type="dxa"/>
            <w:tcBorders>
              <w:top w:val="single" w:color="auto" w:sz="4" w:space="0"/>
              <w:left w:val="single" w:color="auto" w:sz="4" w:space="0"/>
              <w:right w:val="single" w:color="auto" w:sz="4" w:space="0"/>
            </w:tcBorders>
            <w:vAlign w:val="top"/>
          </w:tcPr>
          <w:p>
            <w:pPr>
              <w:spacing w:line="280" w:lineRule="atLeast"/>
              <w:jc w:val="center"/>
              <w:rPr>
                <w:rFonts w:ascii="宋体" w:hAnsi="宋体" w:cs="宋体"/>
                <w:kern w:val="0"/>
                <w:sz w:val="24"/>
              </w:rPr>
            </w:pPr>
            <w:r>
              <w:rPr>
                <w:rFonts w:hint="eastAsia" w:ascii="黑体" w:hAnsi="宋体" w:eastAsia="黑体" w:cs="宋体"/>
                <w:kern w:val="0"/>
                <w:sz w:val="18"/>
              </w:rPr>
              <w:t>灰熔点</w:t>
            </w:r>
          </w:p>
        </w:tc>
        <w:tc>
          <w:tcPr>
            <w:tcW w:w="445" w:type="dxa"/>
            <w:vMerge w:val="continue"/>
            <w:tcBorders>
              <w:left w:val="single" w:color="auto" w:sz="4" w:space="0"/>
              <w:right w:val="single" w:color="auto" w:sz="4" w:space="0"/>
            </w:tcBorders>
            <w:tcMar>
              <w:top w:w="0" w:type="dxa"/>
              <w:left w:w="80" w:type="dxa"/>
              <w:bottom w:w="0" w:type="dxa"/>
              <w:right w:w="0" w:type="dxa"/>
            </w:tcMar>
            <w:vAlign w:val="top"/>
          </w:tcPr>
          <w:p>
            <w:pPr>
              <w:spacing w:line="240" w:lineRule="atLeast"/>
              <w:rPr>
                <w:rFonts w:hint="eastAsia" w:ascii="黑体" w:hAnsi="宋体" w:eastAsia="黑体" w:cs="宋体"/>
                <w:kern w:val="0"/>
                <w:sz w:val="18"/>
              </w:rPr>
            </w:pPr>
          </w:p>
        </w:tc>
        <w:tc>
          <w:tcPr>
            <w:tcW w:w="898" w:type="dxa"/>
            <w:vMerge w:val="continue"/>
            <w:tcBorders>
              <w:left w:val="single" w:color="auto" w:sz="4" w:space="0"/>
              <w:right w:val="single" w:color="auto" w:sz="4" w:space="0"/>
            </w:tcBorders>
            <w:vAlign w:val="top"/>
          </w:tcPr>
          <w:p>
            <w:pPr>
              <w:spacing w:line="240" w:lineRule="atLeast"/>
              <w:rPr>
                <w:rFonts w:hint="eastAsia" w:ascii="黑体" w:hAnsi="宋体" w:eastAsia="黑体" w:cs="宋体"/>
                <w:kern w:val="0"/>
                <w:sz w:val="18"/>
              </w:rPr>
            </w:pPr>
          </w:p>
        </w:tc>
        <w:tc>
          <w:tcPr>
            <w:tcW w:w="1260" w:type="dxa"/>
            <w:vMerge w:val="continue"/>
            <w:tcBorders>
              <w:left w:val="single" w:color="auto" w:sz="4" w:space="0"/>
              <w:bottom w:val="single" w:color="auto" w:sz="4" w:space="0"/>
              <w:right w:val="single" w:color="000000" w:sz="4" w:space="0"/>
            </w:tcBorders>
            <w:vAlign w:val="top"/>
          </w:tcPr>
          <w:p>
            <w:pPr>
              <w:spacing w:line="240" w:lineRule="atLeast"/>
              <w:rPr>
                <w:rFonts w:hint="eastAsia" w:ascii="黑体" w:hAnsi="宋体" w:eastAsia="黑体" w:cs="宋体"/>
                <w:kern w:val="0"/>
                <w:sz w:val="18"/>
              </w:rPr>
            </w:pPr>
          </w:p>
        </w:tc>
        <w:tc>
          <w:tcPr>
            <w:tcW w:w="1657" w:type="dxa"/>
            <w:vMerge w:val="continue"/>
            <w:tcBorders>
              <w:left w:val="single" w:color="auto" w:sz="4" w:space="0"/>
              <w:bottom w:val="single" w:color="auto" w:sz="4" w:space="0"/>
              <w:right w:val="single" w:color="000000" w:sz="4" w:space="0"/>
            </w:tcBorders>
            <w:vAlign w:val="top"/>
          </w:tcPr>
          <w:p>
            <w:pPr>
              <w:spacing w:line="240" w:lineRule="atLeast"/>
              <w:rPr>
                <w:rFonts w:hint="eastAsia" w:ascii="黑体" w:hAnsi="宋体" w:eastAsia="黑体" w:cs="宋体"/>
                <w:kern w:val="0"/>
                <w:sz w:val="18"/>
              </w:rPr>
            </w:pPr>
          </w:p>
        </w:tc>
      </w:tr>
      <w:tr>
        <w:tblPrEx>
          <w:tblLayout w:type="fixed"/>
          <w:tblCellMar>
            <w:top w:w="0" w:type="dxa"/>
            <w:left w:w="0" w:type="dxa"/>
            <w:bottom w:w="0" w:type="dxa"/>
            <w:right w:w="0" w:type="dxa"/>
          </w:tblCellMar>
        </w:tblPrEx>
        <w:trPr>
          <w:trHeight w:val="473" w:hRule="atLeast"/>
          <w:jc w:val="center"/>
        </w:trPr>
        <w:tc>
          <w:tcPr>
            <w:tcW w:w="983" w:type="dxa"/>
            <w:tcBorders>
              <w:top w:val="single" w:color="auto" w:sz="4" w:space="0"/>
              <w:left w:val="single" w:color="auto" w:sz="4" w:space="0"/>
              <w:bottom w:val="single" w:color="auto" w:sz="4" w:space="0"/>
              <w:right w:val="single" w:color="auto" w:sz="4" w:space="0"/>
            </w:tcBorders>
            <w:vAlign w:val="center"/>
          </w:tcPr>
          <w:p>
            <w:pPr>
              <w:widowControl/>
              <w:spacing w:line="280" w:lineRule="atLeast"/>
              <w:jc w:val="center"/>
              <w:rPr>
                <w:rFonts w:hint="eastAsia" w:ascii="黑体" w:hAnsi="宋体" w:eastAsia="黑体" w:cs="宋体"/>
                <w:color w:val="000000"/>
                <w:kern w:val="0"/>
                <w:sz w:val="18"/>
                <w:szCs w:val="18"/>
                <w:lang w:eastAsia="zh-CN"/>
              </w:rPr>
            </w:pPr>
            <w:r>
              <w:rPr>
                <w:rFonts w:hint="eastAsia" w:ascii="黑体" w:hAnsi="宋体" w:eastAsia="黑体" w:cs="宋体"/>
                <w:kern w:val="0"/>
                <w:sz w:val="18"/>
                <w:szCs w:val="18"/>
                <w:lang w:eastAsia="zh-CN"/>
              </w:rPr>
              <w:t>长安益阳发电有限公司</w:t>
            </w:r>
          </w:p>
        </w:tc>
        <w:tc>
          <w:tcPr>
            <w:tcW w:w="150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kern w:val="0"/>
                <w:szCs w:val="21"/>
              </w:rPr>
            </w:pPr>
            <w:r>
              <w:rPr>
                <w:rFonts w:hint="eastAsia" w:ascii="黑体" w:hAnsi="宋体" w:eastAsia="黑体" w:cs="宋体"/>
                <w:kern w:val="0"/>
                <w:szCs w:val="21"/>
                <w:lang w:val="en-US" w:eastAsia="zh-CN"/>
              </w:rPr>
              <w:t>8</w:t>
            </w:r>
            <w:r>
              <w:rPr>
                <w:rFonts w:hint="eastAsia" w:ascii="黑体" w:hAnsi="宋体" w:eastAsia="黑体" w:cs="宋体"/>
                <w:kern w:val="0"/>
                <w:szCs w:val="21"/>
              </w:rPr>
              <w:t>万吨（烟煤）</w:t>
            </w:r>
          </w:p>
        </w:tc>
        <w:tc>
          <w:tcPr>
            <w:tcW w:w="180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kern w:val="0"/>
                <w:szCs w:val="21"/>
              </w:rPr>
            </w:pPr>
            <w:r>
              <w:rPr>
                <w:rFonts w:hint="eastAsia" w:ascii="黑体" w:hAnsi="宋体" w:eastAsia="黑体" w:cs="宋体"/>
                <w:kern w:val="0"/>
                <w:szCs w:val="21"/>
              </w:rPr>
              <w:t>≥5000千卡/</w:t>
            </w:r>
            <w:r>
              <w:rPr>
                <w:rFonts w:hint="eastAsia" w:ascii="黑体" w:hAnsi="宋体" w:eastAsia="黑体" w:cs="宋体"/>
                <w:kern w:val="0"/>
                <w:szCs w:val="21"/>
                <w:lang w:eastAsia="zh-CN"/>
              </w:rPr>
              <w:t>千克</w:t>
            </w:r>
          </w:p>
        </w:tc>
        <w:tc>
          <w:tcPr>
            <w:tcW w:w="1665" w:type="dxa"/>
            <w:tcBorders>
              <w:top w:val="single" w:color="auto" w:sz="4" w:space="0"/>
              <w:left w:val="single" w:color="auto" w:sz="4" w:space="0"/>
              <w:bottom w:val="single" w:color="auto" w:sz="4" w:space="0"/>
              <w:right w:val="single" w:color="000000" w:sz="4" w:space="0"/>
            </w:tcBorders>
            <w:vAlign w:val="center"/>
          </w:tcPr>
          <w:p>
            <w:pPr>
              <w:widowControl/>
              <w:spacing w:line="240" w:lineRule="atLeast"/>
              <w:jc w:val="center"/>
              <w:rPr>
                <w:rFonts w:hint="eastAsia" w:ascii="黑体" w:hAnsi="宋体" w:eastAsia="黑体" w:cs="宋体"/>
                <w:kern w:val="0"/>
                <w:szCs w:val="21"/>
              </w:rPr>
            </w:pPr>
            <w:r>
              <w:rPr>
                <w:rFonts w:hint="eastAsia" w:ascii="黑体" w:hAnsi="宋体" w:eastAsia="黑体" w:cs="宋体"/>
                <w:kern w:val="0"/>
                <w:szCs w:val="21"/>
              </w:rPr>
              <w:t>2</w:t>
            </w:r>
            <w:r>
              <w:rPr>
                <w:rFonts w:hint="eastAsia" w:ascii="黑体" w:hAnsi="宋体" w:eastAsia="黑体" w:cs="宋体"/>
                <w:kern w:val="0"/>
                <w:szCs w:val="21"/>
                <w:lang w:val="en-US" w:eastAsia="zh-CN"/>
              </w:rPr>
              <w:t>5</w:t>
            </w:r>
            <w:r>
              <w:rPr>
                <w:rFonts w:hint="eastAsia" w:ascii="黑体" w:hAnsi="宋体" w:eastAsia="黑体" w:cs="宋体"/>
                <w:kern w:val="0"/>
                <w:szCs w:val="21"/>
              </w:rPr>
              <w:t>%-</w:t>
            </w:r>
            <w:r>
              <w:rPr>
                <w:rFonts w:hint="eastAsia" w:ascii="黑体" w:hAnsi="宋体" w:eastAsia="黑体" w:cs="宋体"/>
                <w:kern w:val="0"/>
                <w:szCs w:val="21"/>
                <w:lang w:val="en-US" w:eastAsia="zh-CN"/>
              </w:rPr>
              <w:t>40</w:t>
            </w:r>
            <w:r>
              <w:rPr>
                <w:rFonts w:hint="eastAsia" w:ascii="黑体" w:hAnsi="宋体" w:eastAsia="黑体" w:cs="宋体"/>
                <w:kern w:val="0"/>
                <w:szCs w:val="21"/>
              </w:rPr>
              <w:t>%</w:t>
            </w:r>
          </w:p>
        </w:tc>
        <w:tc>
          <w:tcPr>
            <w:tcW w:w="954" w:type="dxa"/>
            <w:tcBorders>
              <w:top w:val="single" w:color="auto" w:sz="4" w:space="0"/>
              <w:left w:val="single" w:color="000000"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kern w:val="0"/>
                <w:szCs w:val="21"/>
              </w:rPr>
            </w:pPr>
            <w:r>
              <w:rPr>
                <w:rFonts w:hint="eastAsia" w:ascii="黑体" w:hAnsi="宋体" w:eastAsia="黑体" w:cs="宋体"/>
                <w:kern w:val="0"/>
                <w:szCs w:val="21"/>
              </w:rPr>
              <w:t>≤</w:t>
            </w:r>
            <w:r>
              <w:rPr>
                <w:rFonts w:hint="eastAsia" w:ascii="黑体" w:hAnsi="宋体" w:eastAsia="黑体" w:cs="宋体"/>
                <w:kern w:val="0"/>
                <w:szCs w:val="21"/>
                <w:lang w:val="en-US" w:eastAsia="zh-CN"/>
              </w:rPr>
              <w:t>12</w:t>
            </w:r>
            <w:r>
              <w:rPr>
                <w:rFonts w:hint="eastAsia" w:ascii="黑体" w:hAnsi="宋体" w:eastAsia="黑体" w:cs="宋体"/>
                <w:kern w:val="0"/>
                <w:szCs w:val="21"/>
              </w:rPr>
              <w:t>%</w:t>
            </w:r>
          </w:p>
        </w:tc>
        <w:tc>
          <w:tcPr>
            <w:tcW w:w="1337" w:type="dxa"/>
            <w:tcBorders>
              <w:top w:val="single" w:color="auto" w:sz="4" w:space="0"/>
              <w:left w:val="single" w:color="auto" w:sz="4" w:space="0"/>
              <w:bottom w:val="single" w:color="auto" w:sz="4" w:space="0"/>
              <w:right w:val="single" w:color="000000" w:sz="4" w:space="0"/>
            </w:tcBorders>
            <w:vAlign w:val="center"/>
          </w:tcPr>
          <w:p>
            <w:pPr>
              <w:widowControl/>
              <w:spacing w:line="240" w:lineRule="atLeast"/>
              <w:jc w:val="center"/>
              <w:rPr>
                <w:rFonts w:hint="eastAsia" w:ascii="黑体" w:hAnsi="宋体" w:eastAsia="黑体" w:cs="宋体"/>
                <w:b/>
                <w:kern w:val="0"/>
                <w:szCs w:val="21"/>
              </w:rPr>
            </w:pPr>
            <w:r>
              <w:rPr>
                <w:rFonts w:hint="eastAsia" w:ascii="黑体" w:hAnsi="宋体" w:eastAsia="黑体" w:cs="宋体"/>
                <w:kern w:val="0"/>
                <w:szCs w:val="21"/>
                <w:lang w:val="en-US" w:eastAsia="zh-CN"/>
              </w:rPr>
              <w:t>2</w:t>
            </w:r>
            <w:r>
              <w:rPr>
                <w:rFonts w:hint="eastAsia" w:ascii="黑体" w:hAnsi="宋体" w:eastAsia="黑体" w:cs="宋体"/>
                <w:kern w:val="0"/>
                <w:szCs w:val="21"/>
              </w:rPr>
              <w:t>%≤</w:t>
            </w:r>
            <w:r>
              <w:rPr>
                <w:rFonts w:hint="eastAsia" w:ascii="黑体" w:hAnsi="宋体" w:eastAsia="黑体" w:cs="宋体"/>
                <w:kern w:val="0"/>
                <w:szCs w:val="21"/>
                <w:lang w:val="en-US" w:eastAsia="zh-CN"/>
              </w:rPr>
              <w:t>St≤</w:t>
            </w:r>
            <w:r>
              <w:rPr>
                <w:rFonts w:hint="eastAsia" w:ascii="黑体" w:hAnsi="宋体" w:eastAsia="黑体" w:cs="宋体"/>
                <w:kern w:val="0"/>
                <w:szCs w:val="21"/>
                <w:lang w:val="en-US" w:eastAsia="zh-CN"/>
              </w:rPr>
              <w:t>2.5%</w:t>
            </w:r>
          </w:p>
        </w:tc>
        <w:tc>
          <w:tcPr>
            <w:tcW w:w="818" w:type="dxa"/>
            <w:tcBorders>
              <w:top w:val="single" w:color="auto" w:sz="4" w:space="0"/>
              <w:left w:val="single" w:color="000000" w:sz="4" w:space="0"/>
              <w:bottom w:val="single" w:color="auto" w:sz="4" w:space="0"/>
              <w:right w:val="single" w:color="auto" w:sz="4" w:space="0"/>
            </w:tcBorders>
            <w:tcMar>
              <w:top w:w="0" w:type="dxa"/>
              <w:left w:w="80" w:type="dxa"/>
              <w:bottom w:w="0" w:type="dxa"/>
              <w:right w:w="0" w:type="dxa"/>
            </w:tcMar>
            <w:vAlign w:val="center"/>
          </w:tcPr>
          <w:p>
            <w:pPr>
              <w:widowControl/>
              <w:spacing w:line="240" w:lineRule="atLeast"/>
              <w:jc w:val="center"/>
              <w:rPr>
                <w:rFonts w:hint="eastAsia" w:ascii="黑体" w:hAnsi="宋体" w:eastAsia="黑体" w:cs="宋体"/>
                <w:b/>
                <w:kern w:val="0"/>
                <w:szCs w:val="21"/>
              </w:rPr>
            </w:pPr>
            <w:r>
              <w:rPr>
                <w:rFonts w:hint="eastAsia" w:ascii="黑体" w:hAnsi="宋体" w:eastAsia="黑体" w:cs="宋体"/>
                <w:kern w:val="0"/>
                <w:szCs w:val="21"/>
                <w:lang w:val="en-US" w:eastAsia="zh-CN"/>
              </w:rPr>
              <w:t>≥1300</w:t>
            </w:r>
          </w:p>
        </w:tc>
        <w:tc>
          <w:tcPr>
            <w:tcW w:w="445" w:type="dxa"/>
            <w:tcBorders>
              <w:top w:val="single" w:color="auto" w:sz="4" w:space="0"/>
              <w:left w:val="single" w:color="auto" w:sz="4" w:space="0"/>
              <w:bottom w:val="single" w:color="auto" w:sz="4" w:space="0"/>
              <w:right w:val="single" w:color="auto" w:sz="4" w:space="0"/>
            </w:tcBorders>
            <w:tcMar>
              <w:top w:w="0" w:type="dxa"/>
              <w:left w:w="80" w:type="dxa"/>
              <w:bottom w:w="0" w:type="dxa"/>
              <w:right w:w="0" w:type="dxa"/>
            </w:tcMar>
            <w:vAlign w:val="top"/>
          </w:tcPr>
          <w:p>
            <w:pPr>
              <w:spacing w:line="240" w:lineRule="atLeast"/>
              <w:jc w:val="center"/>
              <w:rPr>
                <w:rFonts w:hint="eastAsia" w:ascii="黑体" w:hAnsi="宋体" w:eastAsia="黑体" w:cs="宋体"/>
                <w:kern w:val="0"/>
                <w:szCs w:val="21"/>
              </w:rPr>
            </w:pPr>
          </w:p>
        </w:tc>
        <w:tc>
          <w:tcPr>
            <w:tcW w:w="898" w:type="dxa"/>
            <w:tcBorders>
              <w:top w:val="single" w:color="auto" w:sz="4" w:space="0"/>
              <w:left w:val="single" w:color="auto" w:sz="4" w:space="0"/>
              <w:bottom w:val="single" w:color="auto" w:sz="4" w:space="0"/>
              <w:right w:val="single" w:color="auto" w:sz="4" w:space="0"/>
            </w:tcBorders>
            <w:vAlign w:val="top"/>
          </w:tcPr>
          <w:p>
            <w:pPr>
              <w:spacing w:line="240" w:lineRule="atLeast"/>
              <w:jc w:val="center"/>
              <w:rPr>
                <w:rFonts w:hint="eastAsia" w:ascii="黑体" w:hAnsi="宋体" w:eastAsia="黑体" w:cs="宋体"/>
                <w:kern w:val="0"/>
                <w:szCs w:val="21"/>
              </w:rPr>
            </w:pPr>
          </w:p>
        </w:tc>
        <w:tc>
          <w:tcPr>
            <w:tcW w:w="1260" w:type="dxa"/>
            <w:tcBorders>
              <w:top w:val="single" w:color="auto" w:sz="4" w:space="0"/>
              <w:left w:val="single" w:color="auto" w:sz="4" w:space="0"/>
              <w:bottom w:val="single" w:color="auto" w:sz="4" w:space="0"/>
              <w:right w:val="single" w:color="000000" w:sz="4" w:space="0"/>
            </w:tcBorders>
            <w:vAlign w:val="top"/>
          </w:tcPr>
          <w:p>
            <w:pPr>
              <w:spacing w:line="240" w:lineRule="atLeast"/>
              <w:rPr>
                <w:rFonts w:hint="eastAsia" w:ascii="黑体" w:hAnsi="宋体" w:eastAsia="黑体" w:cs="宋体"/>
                <w:kern w:val="0"/>
                <w:szCs w:val="21"/>
              </w:rPr>
            </w:pPr>
          </w:p>
        </w:tc>
        <w:tc>
          <w:tcPr>
            <w:tcW w:w="1657" w:type="dxa"/>
            <w:tcBorders>
              <w:top w:val="single" w:color="auto" w:sz="4" w:space="0"/>
              <w:left w:val="single" w:color="auto" w:sz="4" w:space="0"/>
              <w:bottom w:val="single" w:color="auto" w:sz="4" w:space="0"/>
              <w:right w:val="single" w:color="000000" w:sz="4" w:space="0"/>
            </w:tcBorders>
            <w:vAlign w:val="top"/>
          </w:tcPr>
          <w:p>
            <w:pPr>
              <w:spacing w:line="240" w:lineRule="atLeast"/>
              <w:jc w:val="center"/>
              <w:rPr>
                <w:rFonts w:hint="eastAsia" w:ascii="黑体" w:hAnsi="宋体" w:eastAsia="黑体" w:cs="宋体"/>
                <w:kern w:val="0"/>
                <w:szCs w:val="21"/>
              </w:rPr>
            </w:pPr>
          </w:p>
        </w:tc>
      </w:tr>
      <w:tr>
        <w:tblPrEx>
          <w:tblLayout w:type="fixed"/>
          <w:tblCellMar>
            <w:top w:w="0" w:type="dxa"/>
            <w:left w:w="0" w:type="dxa"/>
            <w:bottom w:w="0" w:type="dxa"/>
            <w:right w:w="0" w:type="dxa"/>
          </w:tblCellMar>
        </w:tblPrEx>
        <w:trPr>
          <w:trHeight w:val="499" w:hRule="atLeast"/>
          <w:jc w:val="center"/>
        </w:trPr>
        <w:tc>
          <w:tcPr>
            <w:tcW w:w="98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atLeast"/>
              <w:jc w:val="center"/>
              <w:rPr>
                <w:rFonts w:hint="eastAsia" w:ascii="黑体" w:hAnsi="宋体" w:eastAsia="黑体" w:cs="宋体"/>
                <w:color w:val="000000"/>
                <w:kern w:val="0"/>
                <w:sz w:val="18"/>
                <w:szCs w:val="18"/>
              </w:rPr>
            </w:pPr>
            <w:r>
              <w:rPr>
                <w:rFonts w:hint="eastAsia" w:ascii="黑体" w:hAnsi="宋体" w:eastAsia="黑体" w:cs="宋体"/>
                <w:color w:val="000000"/>
                <w:kern w:val="0"/>
                <w:sz w:val="18"/>
                <w:szCs w:val="18"/>
              </w:rPr>
              <w:t>供应商</w:t>
            </w:r>
          </w:p>
          <w:p>
            <w:pPr>
              <w:widowControl/>
              <w:spacing w:line="280" w:lineRule="atLeast"/>
              <w:jc w:val="center"/>
              <w:rPr>
                <w:rFonts w:hint="eastAsia" w:ascii="黑体" w:hAnsi="宋体" w:eastAsia="黑体" w:cs="宋体"/>
                <w:kern w:val="0"/>
                <w:sz w:val="18"/>
                <w:szCs w:val="18"/>
              </w:rPr>
            </w:pPr>
            <w:r>
              <w:rPr>
                <w:rFonts w:hint="eastAsia" w:ascii="黑体" w:hAnsi="宋体" w:eastAsia="黑体" w:cs="宋体"/>
                <w:color w:val="000000"/>
                <w:kern w:val="0"/>
                <w:sz w:val="18"/>
                <w:szCs w:val="18"/>
              </w:rPr>
              <w:t>填报</w:t>
            </w:r>
          </w:p>
        </w:tc>
        <w:tc>
          <w:tcPr>
            <w:tcW w:w="150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kern w:val="0"/>
                <w:szCs w:val="21"/>
                <w:lang w:val="en-US" w:eastAsia="zh-CN"/>
              </w:rPr>
            </w:pPr>
          </w:p>
        </w:tc>
        <w:tc>
          <w:tcPr>
            <w:tcW w:w="180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kern w:val="0"/>
                <w:szCs w:val="21"/>
              </w:rPr>
            </w:pPr>
          </w:p>
        </w:tc>
        <w:tc>
          <w:tcPr>
            <w:tcW w:w="166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kern w:val="0"/>
                <w:szCs w:val="21"/>
                <w:lang w:val="en-US" w:eastAsia="zh-CN"/>
              </w:rPr>
            </w:pPr>
          </w:p>
        </w:tc>
        <w:tc>
          <w:tcPr>
            <w:tcW w:w="95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kern w:val="0"/>
                <w:szCs w:val="21"/>
              </w:rPr>
            </w:pPr>
          </w:p>
        </w:tc>
        <w:tc>
          <w:tcPr>
            <w:tcW w:w="133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黑体" w:hAnsi="宋体" w:eastAsia="黑体" w:cs="宋体"/>
                <w:b/>
                <w:kern w:val="0"/>
                <w:szCs w:val="21"/>
              </w:rPr>
            </w:pPr>
          </w:p>
        </w:tc>
        <w:tc>
          <w:tcPr>
            <w:tcW w:w="818" w:type="dxa"/>
            <w:tcBorders>
              <w:top w:val="single" w:color="auto" w:sz="4" w:space="0"/>
              <w:left w:val="single" w:color="auto" w:sz="4" w:space="0"/>
              <w:bottom w:val="single" w:color="auto" w:sz="4" w:space="0"/>
              <w:right w:val="single" w:color="auto" w:sz="4" w:space="0"/>
            </w:tcBorders>
            <w:tcMar>
              <w:top w:w="0" w:type="dxa"/>
              <w:left w:w="80" w:type="dxa"/>
              <w:bottom w:w="0" w:type="dxa"/>
              <w:right w:w="0" w:type="dxa"/>
            </w:tcMar>
            <w:vAlign w:val="center"/>
          </w:tcPr>
          <w:p>
            <w:pPr>
              <w:widowControl/>
              <w:spacing w:line="240" w:lineRule="atLeast"/>
              <w:jc w:val="center"/>
              <w:rPr>
                <w:rFonts w:hint="eastAsia" w:ascii="黑体" w:hAnsi="宋体" w:eastAsia="黑体" w:cs="宋体"/>
                <w:b/>
                <w:kern w:val="0"/>
                <w:szCs w:val="21"/>
              </w:rPr>
            </w:pPr>
          </w:p>
        </w:tc>
        <w:tc>
          <w:tcPr>
            <w:tcW w:w="445" w:type="dxa"/>
            <w:tcBorders>
              <w:top w:val="single" w:color="auto" w:sz="4" w:space="0"/>
              <w:left w:val="single" w:color="auto" w:sz="4" w:space="0"/>
              <w:bottom w:val="single" w:color="auto" w:sz="4" w:space="0"/>
              <w:right w:val="single" w:color="auto" w:sz="4" w:space="0"/>
            </w:tcBorders>
            <w:tcMar>
              <w:top w:w="0" w:type="dxa"/>
              <w:left w:w="80" w:type="dxa"/>
              <w:bottom w:w="0" w:type="dxa"/>
              <w:right w:w="0" w:type="dxa"/>
            </w:tcMar>
            <w:vAlign w:val="top"/>
          </w:tcPr>
          <w:p>
            <w:pPr>
              <w:spacing w:line="240" w:lineRule="atLeast"/>
              <w:jc w:val="center"/>
              <w:rPr>
                <w:rFonts w:hint="eastAsia" w:ascii="黑体" w:hAnsi="宋体" w:eastAsia="黑体" w:cs="宋体"/>
                <w:kern w:val="0"/>
                <w:szCs w:val="21"/>
              </w:rPr>
            </w:pPr>
          </w:p>
        </w:tc>
        <w:tc>
          <w:tcPr>
            <w:tcW w:w="898" w:type="dxa"/>
            <w:tcBorders>
              <w:top w:val="single" w:color="auto" w:sz="4" w:space="0"/>
              <w:left w:val="single" w:color="auto" w:sz="4" w:space="0"/>
              <w:bottom w:val="single" w:color="auto" w:sz="4" w:space="0"/>
              <w:right w:val="single" w:color="auto" w:sz="4" w:space="0"/>
            </w:tcBorders>
            <w:vAlign w:val="top"/>
          </w:tcPr>
          <w:p>
            <w:pPr>
              <w:spacing w:line="240" w:lineRule="atLeast"/>
              <w:jc w:val="center"/>
              <w:rPr>
                <w:rFonts w:hint="eastAsia" w:ascii="黑体" w:hAnsi="宋体" w:eastAsia="黑体" w:cs="宋体"/>
                <w:kern w:val="0"/>
                <w:szCs w:val="21"/>
              </w:rPr>
            </w:pPr>
          </w:p>
        </w:tc>
        <w:tc>
          <w:tcPr>
            <w:tcW w:w="1260"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1657"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r>
      <w:tr>
        <w:tblPrEx>
          <w:tblLayout w:type="fixed"/>
          <w:tblCellMar>
            <w:top w:w="0" w:type="dxa"/>
            <w:left w:w="0" w:type="dxa"/>
            <w:bottom w:w="0" w:type="dxa"/>
            <w:right w:w="0" w:type="dxa"/>
          </w:tblCellMar>
        </w:tblPrEx>
        <w:trPr>
          <w:trHeight w:val="499" w:hRule="atLeast"/>
          <w:jc w:val="center"/>
        </w:trPr>
        <w:tc>
          <w:tcPr>
            <w:tcW w:w="983" w:type="dxa"/>
            <w:vMerge w:val="continue"/>
            <w:tcBorders>
              <w:top w:val="single" w:color="auto" w:sz="4" w:space="0"/>
              <w:left w:val="single" w:color="auto" w:sz="4" w:space="0"/>
              <w:bottom w:val="single" w:color="auto" w:sz="4" w:space="0"/>
              <w:right w:val="single" w:color="auto" w:sz="4" w:space="0"/>
            </w:tcBorders>
            <w:vAlign w:val="top"/>
          </w:tcPr>
          <w:p>
            <w:pPr>
              <w:widowControl/>
              <w:spacing w:line="280" w:lineRule="atLeast"/>
              <w:rPr>
                <w:rFonts w:hint="eastAsia" w:ascii="黑体" w:hAnsi="宋体" w:eastAsia="黑体" w:cs="宋体"/>
                <w:kern w:val="0"/>
                <w:sz w:val="18"/>
                <w:szCs w:val="18"/>
              </w:rPr>
            </w:pPr>
          </w:p>
        </w:tc>
        <w:tc>
          <w:tcPr>
            <w:tcW w:w="1502"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lang w:val="en-US" w:eastAsia="zh-CN"/>
              </w:rPr>
            </w:pPr>
          </w:p>
        </w:tc>
        <w:tc>
          <w:tcPr>
            <w:tcW w:w="1801"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rPr>
            </w:pPr>
          </w:p>
        </w:tc>
        <w:tc>
          <w:tcPr>
            <w:tcW w:w="1665"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lang w:val="en-US" w:eastAsia="zh-CN"/>
              </w:rPr>
            </w:pPr>
          </w:p>
        </w:tc>
        <w:tc>
          <w:tcPr>
            <w:tcW w:w="954"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rPr>
            </w:pPr>
          </w:p>
        </w:tc>
        <w:tc>
          <w:tcPr>
            <w:tcW w:w="1337"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b/>
                <w:kern w:val="0"/>
                <w:szCs w:val="21"/>
              </w:rPr>
            </w:pPr>
          </w:p>
        </w:tc>
        <w:tc>
          <w:tcPr>
            <w:tcW w:w="818"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b/>
                <w:kern w:val="0"/>
                <w:szCs w:val="21"/>
              </w:rPr>
            </w:pPr>
          </w:p>
        </w:tc>
        <w:tc>
          <w:tcPr>
            <w:tcW w:w="445"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898"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1260"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1657"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r>
      <w:tr>
        <w:tblPrEx>
          <w:tblLayout w:type="fixed"/>
          <w:tblCellMar>
            <w:top w:w="0" w:type="dxa"/>
            <w:left w:w="0" w:type="dxa"/>
            <w:bottom w:w="0" w:type="dxa"/>
            <w:right w:w="0" w:type="dxa"/>
          </w:tblCellMar>
        </w:tblPrEx>
        <w:trPr>
          <w:trHeight w:val="499" w:hRule="atLeast"/>
          <w:jc w:val="center"/>
        </w:trPr>
        <w:tc>
          <w:tcPr>
            <w:tcW w:w="983" w:type="dxa"/>
            <w:vMerge w:val="continue"/>
            <w:tcBorders>
              <w:top w:val="single" w:color="auto" w:sz="4" w:space="0"/>
              <w:left w:val="single" w:color="auto" w:sz="4" w:space="0"/>
              <w:bottom w:val="single" w:color="auto" w:sz="4" w:space="0"/>
              <w:right w:val="single" w:color="auto" w:sz="4" w:space="0"/>
            </w:tcBorders>
            <w:vAlign w:val="top"/>
          </w:tcPr>
          <w:p>
            <w:pPr>
              <w:widowControl/>
              <w:spacing w:line="280" w:lineRule="atLeast"/>
              <w:rPr>
                <w:rFonts w:hint="eastAsia" w:ascii="黑体" w:hAnsi="宋体" w:eastAsia="黑体" w:cs="宋体"/>
                <w:kern w:val="0"/>
                <w:sz w:val="18"/>
                <w:szCs w:val="18"/>
              </w:rPr>
            </w:pPr>
          </w:p>
        </w:tc>
        <w:tc>
          <w:tcPr>
            <w:tcW w:w="1502"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lang w:val="en-US" w:eastAsia="zh-CN"/>
              </w:rPr>
            </w:pPr>
          </w:p>
        </w:tc>
        <w:tc>
          <w:tcPr>
            <w:tcW w:w="1801"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rPr>
            </w:pPr>
          </w:p>
        </w:tc>
        <w:tc>
          <w:tcPr>
            <w:tcW w:w="1665"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lang w:val="en-US" w:eastAsia="zh-CN"/>
              </w:rPr>
            </w:pPr>
          </w:p>
        </w:tc>
        <w:tc>
          <w:tcPr>
            <w:tcW w:w="954"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rPr>
            </w:pPr>
          </w:p>
        </w:tc>
        <w:tc>
          <w:tcPr>
            <w:tcW w:w="1337"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b/>
                <w:kern w:val="0"/>
                <w:szCs w:val="21"/>
              </w:rPr>
            </w:pPr>
          </w:p>
        </w:tc>
        <w:tc>
          <w:tcPr>
            <w:tcW w:w="818"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b/>
                <w:kern w:val="0"/>
                <w:szCs w:val="21"/>
              </w:rPr>
            </w:pPr>
          </w:p>
        </w:tc>
        <w:tc>
          <w:tcPr>
            <w:tcW w:w="445"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898"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1260"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1657"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r>
      <w:tr>
        <w:tblPrEx>
          <w:tblLayout w:type="fixed"/>
          <w:tblCellMar>
            <w:top w:w="0" w:type="dxa"/>
            <w:left w:w="0" w:type="dxa"/>
            <w:bottom w:w="0" w:type="dxa"/>
            <w:right w:w="0" w:type="dxa"/>
          </w:tblCellMar>
        </w:tblPrEx>
        <w:trPr>
          <w:trHeight w:val="499" w:hRule="atLeast"/>
          <w:jc w:val="center"/>
        </w:trPr>
        <w:tc>
          <w:tcPr>
            <w:tcW w:w="983" w:type="dxa"/>
            <w:vMerge w:val="continue"/>
            <w:tcBorders>
              <w:top w:val="single" w:color="auto" w:sz="4" w:space="0"/>
              <w:left w:val="single" w:color="auto" w:sz="4" w:space="0"/>
              <w:bottom w:val="single" w:color="auto" w:sz="4" w:space="0"/>
              <w:right w:val="single" w:color="auto" w:sz="4" w:space="0"/>
            </w:tcBorders>
            <w:vAlign w:val="top"/>
          </w:tcPr>
          <w:p>
            <w:pPr>
              <w:widowControl/>
              <w:spacing w:line="280" w:lineRule="atLeast"/>
              <w:rPr>
                <w:rFonts w:hint="eastAsia" w:ascii="黑体" w:hAnsi="宋体" w:eastAsia="黑体" w:cs="宋体"/>
                <w:kern w:val="0"/>
                <w:sz w:val="18"/>
                <w:szCs w:val="18"/>
              </w:rPr>
            </w:pPr>
          </w:p>
        </w:tc>
        <w:tc>
          <w:tcPr>
            <w:tcW w:w="1502"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lang w:val="en-US" w:eastAsia="zh-CN"/>
              </w:rPr>
            </w:pPr>
          </w:p>
        </w:tc>
        <w:tc>
          <w:tcPr>
            <w:tcW w:w="1801"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rPr>
            </w:pPr>
          </w:p>
        </w:tc>
        <w:tc>
          <w:tcPr>
            <w:tcW w:w="1665"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lang w:val="en-US" w:eastAsia="zh-CN"/>
              </w:rPr>
            </w:pPr>
          </w:p>
        </w:tc>
        <w:tc>
          <w:tcPr>
            <w:tcW w:w="954"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kern w:val="0"/>
                <w:szCs w:val="21"/>
              </w:rPr>
            </w:pPr>
          </w:p>
        </w:tc>
        <w:tc>
          <w:tcPr>
            <w:tcW w:w="1337"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b/>
                <w:kern w:val="0"/>
                <w:szCs w:val="21"/>
              </w:rPr>
            </w:pPr>
          </w:p>
        </w:tc>
        <w:tc>
          <w:tcPr>
            <w:tcW w:w="818" w:type="dxa"/>
            <w:tcBorders>
              <w:top w:val="single" w:color="auto" w:sz="4" w:space="0"/>
              <w:left w:val="single" w:color="auto" w:sz="4" w:space="0"/>
              <w:bottom w:val="single" w:color="auto" w:sz="4" w:space="0"/>
              <w:right w:val="single" w:color="auto" w:sz="4" w:space="0"/>
            </w:tcBorders>
            <w:vAlign w:val="top"/>
          </w:tcPr>
          <w:p>
            <w:pPr>
              <w:widowControl/>
              <w:spacing w:line="240" w:lineRule="atLeast"/>
              <w:rPr>
                <w:rFonts w:hint="eastAsia" w:ascii="黑体" w:hAnsi="宋体" w:eastAsia="黑体" w:cs="宋体"/>
                <w:b/>
                <w:kern w:val="0"/>
                <w:szCs w:val="21"/>
              </w:rPr>
            </w:pPr>
          </w:p>
        </w:tc>
        <w:tc>
          <w:tcPr>
            <w:tcW w:w="445"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898"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1260"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c>
          <w:tcPr>
            <w:tcW w:w="1657" w:type="dxa"/>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黑体" w:hAnsi="宋体" w:eastAsia="黑体" w:cs="宋体"/>
                <w:kern w:val="0"/>
                <w:szCs w:val="21"/>
              </w:rPr>
            </w:pPr>
          </w:p>
        </w:tc>
      </w:tr>
    </w:tbl>
    <w:p>
      <w:pPr>
        <w:widowControl/>
        <w:spacing w:line="280" w:lineRule="atLeast"/>
        <w:rPr>
          <w:rFonts w:hint="eastAsia" w:ascii="黑体" w:hAnsi="宋体" w:eastAsia="黑体" w:cs="宋体"/>
          <w:kern w:val="0"/>
          <w:sz w:val="24"/>
        </w:rPr>
      </w:pPr>
      <w:r>
        <w:rPr>
          <w:rFonts w:hint="eastAsia" w:ascii="黑体" w:hAnsi="宋体" w:eastAsia="黑体" w:cs="宋体"/>
          <w:kern w:val="0"/>
          <w:sz w:val="24"/>
        </w:rPr>
        <w:t xml:space="preserve">   </w:t>
      </w:r>
    </w:p>
    <w:p>
      <w:pPr>
        <w:widowControl/>
        <w:spacing w:line="280" w:lineRule="atLeast"/>
        <w:rPr>
          <w:rFonts w:hint="eastAsia" w:ascii="黑体" w:hAnsi="宋体" w:eastAsia="黑体" w:cs="宋体"/>
          <w:kern w:val="0"/>
          <w:sz w:val="24"/>
        </w:rPr>
      </w:pPr>
      <w:r>
        <w:rPr>
          <w:rFonts w:hint="eastAsia" w:ascii="黑体" w:hAnsi="宋体" w:eastAsia="黑体" w:cs="宋体"/>
          <w:kern w:val="0"/>
          <w:sz w:val="24"/>
        </w:rPr>
        <w:t xml:space="preserve"> 报价须知</w:t>
      </w:r>
      <w:r>
        <w:rPr>
          <w:rFonts w:ascii="黑体" w:hAnsi="宋体" w:eastAsia="黑体" w:cs="宋体"/>
          <w:kern w:val="0"/>
          <w:sz w:val="24"/>
        </w:rPr>
        <w:t>:</w:t>
      </w:r>
      <w:r>
        <w:rPr>
          <w:rFonts w:hint="eastAsia" w:ascii="黑体" w:hAnsi="宋体" w:eastAsia="黑体" w:cs="宋体"/>
          <w:kern w:val="0"/>
          <w:sz w:val="24"/>
        </w:rPr>
        <w:t xml:space="preserve"> </w:t>
      </w:r>
    </w:p>
    <w:p>
      <w:pPr>
        <w:widowControl/>
        <w:spacing w:line="280" w:lineRule="atLeast"/>
        <w:rPr>
          <w:rFonts w:hint="eastAsia" w:ascii="宋体" w:hAnsi="宋体" w:cs="宋体"/>
          <w:kern w:val="0"/>
          <w:sz w:val="24"/>
        </w:rPr>
      </w:pPr>
      <w:r>
        <w:rPr>
          <w:rFonts w:hint="eastAsia" w:ascii="宋体" w:hAnsi="宋体" w:cs="宋体"/>
          <w:kern w:val="0"/>
          <w:sz w:val="24"/>
          <w:lang w:val="en-US" w:eastAsia="zh-CN"/>
        </w:rPr>
        <w:t>1</w:t>
      </w:r>
      <w:r>
        <w:rPr>
          <w:rFonts w:hint="eastAsia" w:ascii="宋体" w:hAnsi="宋体" w:cs="宋体"/>
          <w:kern w:val="0"/>
          <w:sz w:val="24"/>
        </w:rPr>
        <w:t>、</w:t>
      </w:r>
      <w:r>
        <w:rPr>
          <w:rFonts w:ascii="宋体" w:hAnsi="宋体" w:cs="宋体"/>
          <w:kern w:val="0"/>
          <w:sz w:val="24"/>
        </w:rPr>
        <w:t>以上报价</w:t>
      </w:r>
      <w:r>
        <w:rPr>
          <w:rFonts w:hint="eastAsia" w:ascii="宋体" w:hAnsi="宋体" w:cs="宋体"/>
          <w:kern w:val="0"/>
          <w:sz w:val="24"/>
          <w:lang w:eastAsia="zh-CN"/>
        </w:rPr>
        <w:t>火运煤</w:t>
      </w:r>
      <w:r>
        <w:rPr>
          <w:rFonts w:ascii="宋体" w:hAnsi="宋体" w:cs="宋体"/>
          <w:kern w:val="0"/>
          <w:sz w:val="24"/>
        </w:rPr>
        <w:t>为到</w:t>
      </w:r>
      <w:r>
        <w:rPr>
          <w:rFonts w:hint="eastAsia" w:ascii="宋体" w:hAnsi="宋体" w:cs="宋体"/>
          <w:kern w:val="0"/>
          <w:sz w:val="24"/>
          <w:lang w:eastAsia="zh-CN"/>
        </w:rPr>
        <w:t>益阳西站</w:t>
      </w:r>
      <w:r>
        <w:rPr>
          <w:rFonts w:hint="eastAsia" w:ascii="宋体" w:hAnsi="宋体" w:cs="宋体"/>
          <w:kern w:val="0"/>
          <w:sz w:val="24"/>
        </w:rPr>
        <w:t>一票制</w:t>
      </w:r>
      <w:r>
        <w:rPr>
          <w:rFonts w:ascii="宋体" w:hAnsi="宋体" w:cs="宋体"/>
          <w:kern w:val="0"/>
          <w:sz w:val="24"/>
        </w:rPr>
        <w:t>含税价，服从</w:t>
      </w:r>
      <w:r>
        <w:rPr>
          <w:rFonts w:hint="eastAsia" w:ascii="宋体" w:hAnsi="宋体" w:cs="宋体"/>
          <w:kern w:val="0"/>
          <w:sz w:val="24"/>
        </w:rPr>
        <w:t>买方</w:t>
      </w:r>
      <w:r>
        <w:rPr>
          <w:rFonts w:ascii="宋体" w:hAnsi="宋体" w:cs="宋体"/>
          <w:kern w:val="0"/>
          <w:sz w:val="24"/>
        </w:rPr>
        <w:t>的统一调配</w:t>
      </w:r>
      <w:r>
        <w:rPr>
          <w:rFonts w:hint="eastAsia" w:ascii="宋体" w:hAnsi="宋体" w:cs="宋体"/>
          <w:kern w:val="0"/>
          <w:sz w:val="24"/>
          <w:lang w:eastAsia="zh-CN"/>
        </w:rPr>
        <w:t>；船运煤报价为</w:t>
      </w:r>
      <w:r>
        <w:rPr>
          <w:rFonts w:ascii="宋体" w:hAnsi="宋体" w:cs="宋体"/>
          <w:kern w:val="0"/>
          <w:sz w:val="24"/>
        </w:rPr>
        <w:t>到</w:t>
      </w:r>
      <w:r>
        <w:rPr>
          <w:rFonts w:hint="eastAsia" w:ascii="宋体" w:hAnsi="宋体" w:cs="宋体"/>
          <w:kern w:val="0"/>
          <w:sz w:val="24"/>
        </w:rPr>
        <w:t>电厂</w:t>
      </w:r>
      <w:r>
        <w:rPr>
          <w:rFonts w:hint="eastAsia" w:ascii="宋体" w:hAnsi="宋体" w:cs="宋体"/>
          <w:kern w:val="0"/>
          <w:sz w:val="24"/>
          <w:lang w:eastAsia="zh-CN"/>
        </w:rPr>
        <w:t>煤场</w:t>
      </w:r>
      <w:r>
        <w:rPr>
          <w:rFonts w:hint="eastAsia" w:ascii="宋体" w:hAnsi="宋体" w:cs="宋体"/>
          <w:kern w:val="0"/>
          <w:sz w:val="24"/>
        </w:rPr>
        <w:t>一票制</w:t>
      </w:r>
      <w:r>
        <w:rPr>
          <w:rFonts w:ascii="宋体" w:hAnsi="宋体" w:cs="宋体"/>
          <w:kern w:val="0"/>
          <w:sz w:val="24"/>
        </w:rPr>
        <w:t>含税价</w:t>
      </w:r>
      <w:r>
        <w:rPr>
          <w:rFonts w:hint="eastAsia" w:ascii="宋体" w:hAnsi="宋体" w:cs="宋体"/>
          <w:kern w:val="0"/>
          <w:sz w:val="24"/>
          <w:lang w:eastAsia="zh-CN"/>
        </w:rPr>
        <w:t>（含电厂码头吊机接卸费和汽车短倒费，合计约</w:t>
      </w:r>
      <w:r>
        <w:rPr>
          <w:rFonts w:hint="eastAsia" w:ascii="宋体" w:hAnsi="宋体" w:cs="宋体"/>
          <w:kern w:val="0"/>
          <w:sz w:val="24"/>
          <w:lang w:val="en-US" w:eastAsia="zh-CN"/>
        </w:rPr>
        <w:t>8元/吨</w:t>
      </w:r>
      <w:r>
        <w:rPr>
          <w:rFonts w:hint="eastAsia" w:ascii="宋体" w:hAnsi="宋体" w:cs="宋体"/>
          <w:kern w:val="0"/>
          <w:sz w:val="24"/>
          <w:lang w:eastAsia="zh-CN"/>
        </w:rPr>
        <w:t>）</w:t>
      </w:r>
      <w:r>
        <w:rPr>
          <w:rFonts w:ascii="宋体" w:hAnsi="宋体" w:cs="宋体"/>
          <w:kern w:val="0"/>
          <w:sz w:val="24"/>
        </w:rPr>
        <w:t>，</w:t>
      </w:r>
      <w:r>
        <w:rPr>
          <w:rFonts w:hint="eastAsia" w:ascii="宋体" w:hAnsi="宋体" w:cs="宋体"/>
          <w:kern w:val="0"/>
          <w:sz w:val="24"/>
          <w:lang w:eastAsia="zh-CN"/>
        </w:rPr>
        <w:t>交货地点为益阳电厂煤场，数量以益阳电厂地磅过磅吨位为准，质量以第三方机械采样结果为准。</w:t>
      </w:r>
    </w:p>
    <w:p>
      <w:pPr>
        <w:widowControl/>
        <w:spacing w:line="280" w:lineRule="atLeast"/>
        <w:rPr>
          <w:rFonts w:hint="eastAsia" w:ascii="黑体" w:hAnsi="宋体" w:eastAsia="黑体" w:cs="宋体"/>
          <w:kern w:val="0"/>
          <w:sz w:val="24"/>
        </w:rPr>
      </w:pPr>
      <w:r>
        <w:rPr>
          <w:rFonts w:hint="eastAsia" w:ascii="黑体" w:hAnsi="宋体" w:eastAsia="黑体" w:cs="宋体"/>
          <w:kern w:val="0"/>
          <w:sz w:val="24"/>
          <w:lang w:val="en-US" w:eastAsia="zh-CN"/>
        </w:rPr>
        <w:t>2</w:t>
      </w:r>
      <w:r>
        <w:rPr>
          <w:rFonts w:hint="eastAsia" w:ascii="黑体" w:hAnsi="宋体" w:eastAsia="黑体" w:cs="宋体"/>
          <w:kern w:val="0"/>
          <w:sz w:val="24"/>
          <w:lang w:eastAsia="zh-CN"/>
        </w:rPr>
        <w:t>、</w:t>
      </w:r>
      <w:r>
        <w:rPr>
          <w:rFonts w:hint="eastAsia" w:ascii="宋体" w:hAnsi="宋体" w:cs="宋体"/>
          <w:kern w:val="0"/>
          <w:sz w:val="24"/>
          <w:lang w:eastAsia="zh-CN"/>
        </w:rPr>
        <w:t>供应商可根据自身资源情况，填写优势煤种的可供数量、质量、价格和到达时间，我方将根据自身需求和所报煤种的性价比考虑标准需求外的可供资源。</w:t>
      </w:r>
    </w:p>
    <w:p>
      <w:pPr>
        <w:rPr>
          <w:rFonts w:hint="eastAsia"/>
          <w:kern w:val="0"/>
        </w:rPr>
      </w:pPr>
      <w:bookmarkStart w:id="0" w:name="_GoBack"/>
      <w:bookmarkEnd w:id="0"/>
    </w:p>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17276"/>
    <w:rsid w:val="0BA1727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2017-02-15T00:56:00Z</dcterms:created>
  <dc:creator>Administrator</dc:creator>
  <cp:lastModifiedBy>Administrator</cp:lastModifiedBy>
  <dcterms:modified xsi:type="dcterms:W3CDTF">2017-02-15T01:02:09Z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