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低质原料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15000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spacing w:line="240" w:lineRule="atLeast"/>
        <w:ind w:firstLine="420" w:firstLineChars="20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（1）3500千卡/千克及以上，执行基准价；</w:t>
      </w:r>
    </w:p>
    <w:p>
      <w:pPr>
        <w:spacing w:line="240" w:lineRule="atLeast"/>
        <w:ind w:firstLine="420" w:firstLineChars="200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（2）3500千卡/千克--3000千卡/千克，按中标价-1.0元/百大卡·吨结算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spacing w:line="240" w:lineRule="atLeast"/>
        <w:ind w:firstLine="420" w:firstLineChars="20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（3）3000千卡/千克及以下，按100元/吨结算。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</w:t>
      </w:r>
      <w:bookmarkStart w:id="0" w:name="_GoBack"/>
      <w:bookmarkEnd w:id="0"/>
      <w:r>
        <w:rPr>
          <w:rFonts w:hint="eastAsia" w:ascii="宋体" w:hAnsi="宋体"/>
          <w:sz w:val="24"/>
          <w:lang w:eastAsia="zh-CN"/>
        </w:rPr>
        <w:t>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低质原料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eastAsia="zh-CN"/>
      </w:rPr>
      <w:t>控股</w:t>
    </w:r>
    <w:r>
      <w:rPr>
        <w:rFonts w:hint="eastAsia"/>
      </w:rPr>
      <w:t>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18C608F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EB37B6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9F4587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4318F0"/>
    <w:rsid w:val="46764B72"/>
    <w:rsid w:val="468D5D79"/>
    <w:rsid w:val="471756AB"/>
    <w:rsid w:val="47422188"/>
    <w:rsid w:val="4793785B"/>
    <w:rsid w:val="47A51EDC"/>
    <w:rsid w:val="48D42CA2"/>
    <w:rsid w:val="49494347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5FDB7F49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CF227F0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2672</Words>
  <Characters>2962</Characters>
  <Lines>25</Lines>
  <Paragraphs>7</Paragraphs>
  <TotalTime>7</TotalTime>
  <ScaleCrop>false</ScaleCrop>
  <LinksUpToDate>false</LinksUpToDate>
  <CharactersWithSpaces>3135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2022-09-20T04:06:43Z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842FC2587FF74151B0800488366EA77C</vt:lpwstr>
  </property>
</Properties>
</file>