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煤炭（汽火联运）采购合同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</w:t>
      </w:r>
      <w:r>
        <w:rPr>
          <w:rFonts w:hint="eastAsia" w:ascii="宋体" w:hAnsi="宋体"/>
          <w:color w:val="000000"/>
          <w:sz w:val="24"/>
          <w:lang w:val="en-US" w:eastAsia="zh-CN"/>
        </w:rPr>
        <w:t>民法典</w:t>
      </w:r>
      <w:r>
        <w:rPr>
          <w:rFonts w:hint="eastAsia" w:ascii="宋体" w:hAnsi="宋体"/>
          <w:color w:val="000000"/>
          <w:sz w:val="24"/>
        </w:rPr>
        <w:t>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煤种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合同量(吨)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发热量Qnet,ar</w:t>
            </w:r>
            <w:r>
              <w:rPr>
                <w:rFonts w:hint="eastAsia" w:ascii="宋体" w:hAnsi="宋体"/>
                <w:sz w:val="24"/>
              </w:rPr>
              <w:t>（大卡/千克）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（mm）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动力煤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****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≥6000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≤0.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65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汽车运输 运输要求：符合平顶山市政府对煤炭运输车辆的环保要求。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甲方按国家标准进行计量、检验，以其所出报告作为结算依据。乙方供应煤碳验收按照«河南中平鲁阳煤电有限公司入厂煤验收管理办法»执行。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计量：火运以轨道衡过衡净重作为结算依据。汽运以汽车衡过衡净重作为结算依据。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以6000大卡/千克为基准，Vdaf以25%为基准， St,d以0.</w:t>
      </w:r>
      <w:r>
        <w:rPr>
          <w:rFonts w:hint="eastAsia" w:ascii="宋体" w:hAnsi="宋体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%为基准，执行每百大卡·吨***元/吨为基准价。</w:t>
      </w:r>
    </w:p>
    <w:p>
      <w:pPr>
        <w:tabs>
          <w:tab w:val="left" w:pos="5040"/>
        </w:tabs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Cs/>
          <w:sz w:val="24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（1）6000大卡/千克及以上，执行基准价；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（2）5800大卡/千克--5999大卡/千克，基准价每百大卡·吨下浮0.2元/吨；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（3）5600大卡/千克--5799大卡/千克，基准价每百大卡·吨下浮0.4元/吨；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（4）5300大卡/千克--5599大卡/千克，基准价每百大卡·吨下浮0.8元/吨；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（5）5000大卡/千克--5299大卡/千克，基准价每百大卡·吨下浮1.5元/吨；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（6）4000大卡/千克--4999大卡/千克，按每百大卡·吨5元/吨结算；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（7）3999大卡/千克及以下，按每百大卡·吨3元/吨结算。</w:t>
      </w:r>
    </w:p>
    <w:p>
      <w:pPr>
        <w:spacing w:line="240" w:lineRule="atLeast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</w:t>
      </w:r>
      <w:bookmarkStart w:id="0" w:name="_GoBack"/>
      <w:bookmarkEnd w:id="0"/>
      <w:r>
        <w:rPr>
          <w:rFonts w:hint="eastAsia" w:ascii="宋体" w:hAnsi="宋体"/>
          <w:color w:val="000000"/>
          <w:sz w:val="24"/>
        </w:rPr>
        <w:t>：</w:t>
      </w:r>
    </w:p>
    <w:p>
      <w:pPr>
        <w:tabs>
          <w:tab w:val="left" w:pos="5040"/>
        </w:tabs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St.d≤0.</w:t>
      </w:r>
      <w:r>
        <w:rPr>
          <w:rFonts w:hint="eastAsia" w:ascii="宋体" w:hAnsi="宋体"/>
          <w:color w:val="000000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%，不扣款。0.</w:t>
      </w:r>
      <w:r>
        <w:rPr>
          <w:rFonts w:hint="eastAsia" w:ascii="宋体" w:hAnsi="宋体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%＜St.d，均以0.</w:t>
      </w:r>
      <w:r>
        <w:rPr>
          <w:rFonts w:hint="eastAsia" w:ascii="宋体" w:hAnsi="宋体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%为基数。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（1）1.4%≥St.d＞0.</w:t>
      </w:r>
      <w:r>
        <w:rPr>
          <w:rFonts w:hint="eastAsia" w:ascii="宋体" w:hAnsi="宋体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%，每升高0.01%，价格下浮2.0元/吨；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（2）St.d＞1.4%，每升高0.01%，价格下浮3.0元/吨。</w:t>
      </w:r>
    </w:p>
    <w:p>
      <w:pPr>
        <w:spacing w:line="240" w:lineRule="atLeast"/>
        <w:ind w:firstLine="481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Cs/>
          <w:sz w:val="24"/>
        </w:rPr>
        <w:t>Vdaf</w:t>
      </w:r>
      <w:r>
        <w:rPr>
          <w:rFonts w:hint="eastAsia" w:ascii="宋体" w:hAnsi="宋体"/>
          <w:sz w:val="24"/>
        </w:rPr>
        <w:t>以25%为基准。</w:t>
      </w:r>
    </w:p>
    <w:p>
      <w:pPr>
        <w:spacing w:line="240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（1）25%＞Vdaf≥23%，价格下浮5元/吨。</w:t>
      </w:r>
    </w:p>
    <w:p>
      <w:pPr>
        <w:spacing w:line="240" w:lineRule="atLeas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（2）Vdaf＜23%，价格下浮100元/吨。</w:t>
      </w:r>
    </w:p>
    <w:p>
      <w:pPr>
        <w:spacing w:line="240" w:lineRule="atLeas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6</w:t>
      </w:r>
      <w:r>
        <w:rPr>
          <w:rFonts w:hint="eastAsia" w:ascii="宋体" w:hAnsi="宋体"/>
          <w:sz w:val="24"/>
        </w:rPr>
        <w:t xml:space="preserve">.对乙方所供应煤炭要求煤质均匀稳定，严禁分层混装。同一车皮(辆）热值差不能超过基准热值（6000大卡）的20%，超过20%以上，单节车皮（辆）使用热值较低的按照合同价格体系单独结算。所有车皮（辆）装车最低热值不能低于5500大卡，低于5500大卡车皮（辆）按照合同价体系下浮50元/吨单独结算。 </w:t>
      </w:r>
    </w:p>
    <w:p>
      <w:pPr>
        <w:spacing w:line="240" w:lineRule="atLeas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7</w:t>
      </w:r>
      <w:r>
        <w:rPr>
          <w:rFonts w:hint="eastAsia" w:ascii="宋体" w:hAnsi="宋体"/>
          <w:sz w:val="24"/>
        </w:rPr>
        <w:t xml:space="preserve">.对乙方所供应煤炭严禁掺假使假（煤泥、矸石、煤灰、）及掺配无烟煤，一经发现，对涉煤车辆（皮）按0元煤价处理，造成生产事故，甲方有权另行研究处理。 </w:t>
      </w:r>
    </w:p>
    <w:p>
      <w:pPr>
        <w:tabs>
          <w:tab w:val="left" w:pos="5040"/>
        </w:tabs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8.</w:t>
      </w:r>
      <w:r>
        <w:rPr>
          <w:rFonts w:hint="eastAsia" w:ascii="宋体" w:hAnsi="宋体"/>
          <w:sz w:val="24"/>
        </w:rPr>
        <w:t>合同签订后，乙方应按照甲方调运计划要求发运，合同期内完成量达到合同量80%及以上者视为完成合同量，若合同期内完成量小于合同量的80%，按以下条款执行：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（1）合同量50%≤合同期内完成量＜合同量80%，在对应质价结算价格每百大卡·吨下浮0.2元/吨。</w:t>
      </w:r>
    </w:p>
    <w:p>
      <w:pPr>
        <w:spacing w:line="240" w:lineRule="atLeas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（2）乙方合同期内完成量＜合同量50%时，在对应质价结算价格每百大卡·吨下浮0.4元/吨，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240" w:lineRule="atLeas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（3）合同期内完成量低于50%，取消由甲方组织的近三个月内高质煤竞价采购报名资格。</w:t>
      </w:r>
    </w:p>
    <w:p>
      <w:pPr>
        <w:spacing w:line="240" w:lineRule="atLeast"/>
        <w:ind w:firstLine="482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9</w:t>
      </w:r>
      <w:r>
        <w:rPr>
          <w:rFonts w:hint="eastAsia" w:ascii="宋体" w:hAnsi="宋体"/>
          <w:sz w:val="24"/>
        </w:rPr>
        <w:t>.发热量Qnet,ar、挥发分Vdaf、全硫分St,d的结算价格及处罚合并执行，最低按照0元/吨结算。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10.</w:t>
      </w:r>
      <w:r>
        <w:rPr>
          <w:rFonts w:hint="eastAsia" w:ascii="宋体" w:hAnsi="宋体"/>
          <w:sz w:val="24"/>
        </w:rPr>
        <w:t>根据生产需要，甲方有权调整发运量，结算量以实际供应量为准。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11.</w:t>
      </w:r>
      <w:r>
        <w:rPr>
          <w:rFonts w:hint="eastAsia" w:ascii="宋体" w:hAnsi="宋体"/>
          <w:sz w:val="24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12.</w:t>
      </w:r>
      <w:r>
        <w:rPr>
          <w:rFonts w:hint="eastAsia" w:ascii="宋体" w:hAnsi="宋体"/>
          <w:sz w:val="24"/>
        </w:rPr>
        <w:t>由于市场或生产需求发生重大变化，影响合同履约执行，甲方有权终止合同或延期执行，对此乙方未完成合同量的第8条款免予执行。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68.4元/车由卖方承担，由招标采购中心从煤款中扣除；火车运输发生平煤神马集团铁路专用线运输费用的，矿区铁路运费13.76元/吨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乙方按照合同约定合格完成煤炭供应任务后，甲方对乙方进行煤款结算。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甲方有权根据设备运行情况，随时调整采样方式（机械采样或人工采样等），并以其出具的检验报告作为结算依据。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乙方应按照合同约定，保质、保量、按时完成本合同计划供应量。</w:t>
      </w:r>
    </w:p>
    <w:p>
      <w:pPr>
        <w:ind w:left="1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乙方有权利依照合同条款要求甲方支付相应煤款。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sz w:val="24"/>
        </w:rPr>
        <w:t>乙方在遵守甲方管理规定的前提下，有权监督甲方采制样。若乙方不派人参与，视为对采制样过程的认可。</w:t>
      </w:r>
    </w:p>
    <w:p>
      <w:pPr>
        <w:ind w:left="481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5.</w:t>
      </w:r>
      <w:r>
        <w:rPr>
          <w:rFonts w:hint="eastAsia" w:ascii="宋体" w:hAnsi="宋体"/>
          <w:color w:val="000000"/>
          <w:sz w:val="24"/>
        </w:rPr>
        <w:t>乙方所供煤炭应为筛选煤，粒度不大于50mm，若大于此粒度造成卸车困难的，甲方有权自行处置，</w:t>
      </w:r>
      <w:r>
        <w:rPr>
          <w:rFonts w:hint="eastAsia" w:ascii="宋体" w:hAnsi="宋体"/>
          <w:sz w:val="24"/>
        </w:rPr>
        <w:t>所发生的一切费用由乙方承担。</w:t>
      </w:r>
    </w:p>
    <w:p>
      <w:pPr>
        <w:ind w:left="1" w:firstLine="48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6.</w:t>
      </w:r>
      <w:r>
        <w:rPr>
          <w:rFonts w:hint="eastAsia" w:ascii="宋体" w:hAnsi="宋体"/>
          <w:color w:val="000000"/>
          <w:sz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left="1" w:firstLine="48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 八、其他约定事项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3. </w:t>
      </w:r>
      <w:r>
        <w:rPr>
          <w:rFonts w:hint="eastAsia" w:ascii="宋体" w:hAnsi="宋体"/>
          <w:color w:val="000000"/>
          <w:sz w:val="24"/>
        </w:rPr>
        <w:t>本合同不得用于银行贷款、抵押和其他保理融资等业务。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法人代表人：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w:pict>
          <v:group id="画布 5" o:spid="_x0000_s1027" o:spt="203" style="height:78pt;width:409.8pt;" coordsize="5204460,990600203" editas="canvas">
            <o:lock v:ext="edit"/>
            <v:shape id="画布 5" o:spid="_x0000_s1026" o:spt="100" style="position:absolute;left:0;top:0;height:990600203;width:5204460;" filled="f" stroked="f" coordsize="21600,21600" adj=",">
              <v:fill on="f" focussize="0,0"/>
              <v:stroke on="f"/>
              <v:imagedata o:title=""/>
              <o:lock v:ext="edit" aspectratio="t"/>
            </v:shape>
            <v:rect id="矩形 7" o:spid="_x0000_s1028" o:spt="1" style="position:absolute;left:3980568;top:396094;height:496029;width:1029646;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HPZUdQAAAAFAQAADwAAAAAAAAAB&#10;ACAAAAAiAAAAZHJzL2Rvd25yZXYueG1sUEsBAhQAFAAAAAgAh07iQFiI7hIUAgAAQgQAAA4AAAAA&#10;AAAAAQAgAAAAIwEAAGRycy9lMm9Eb2MueG1sUEsFBgAAAAAGAAYAWQEAAKkFAAAAAA==&#10;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ind w:firstLine="241" w:firstLineChars="50"/>
                      <w:rPr>
                        <w:rFonts w:ascii="黑体" w:eastAsia="黑体"/>
                        <w:b/>
                        <w:sz w:val="48"/>
                        <w:szCs w:val="48"/>
                      </w:rPr>
                    </w:pPr>
                    <w:r>
                      <w:rPr>
                        <w:rFonts w:hint="eastAsia" w:ascii="黑体" w:eastAsia="黑体"/>
                        <w:b/>
                        <w:sz w:val="48"/>
                        <w:szCs w:val="48"/>
                      </w:rPr>
                      <w:t>正本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煤炭（汽火联运）采购合同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动力煤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2049" o:spt="136" type="#_x0000_t136" style="position:absolute;left:0pt;height:131.95pt;width:527.8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c5ODNkYmVhN2JjNGE1NTQyZGM2N2ZkODZhMTlhYjk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44562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208E2B3A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B6D1678"/>
    <w:rsid w:val="4C4912D2"/>
    <w:rsid w:val="4C595BA0"/>
    <w:rsid w:val="4D71672E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B5635ED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2953</Words>
  <Characters>3300</Characters>
  <Lines>25</Lines>
  <Paragraphs>7</Paragraphs>
  <TotalTime>17</TotalTime>
  <ScaleCrop>false</ScaleCrop>
  <LinksUpToDate>false</LinksUpToDate>
  <CharactersWithSpaces>3476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小井同学18768918766</cp:lastModifiedBy>
  <dcterms:modified xsi:type="dcterms:W3CDTF">2022-06-21T03:34:19Z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AB141CC371BE410E80ED7F5A332291DF</vt:lpwstr>
  </property>
</Properties>
</file>