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7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786"/>
        <w:gridCol w:w="3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6"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786"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zh-CN"/>
              </w:rPr>
              <w:t>5000(+</w:t>
            </w:r>
            <w:r>
              <w:rPr>
                <w:rFonts w:hint="eastAsia" w:ascii="楷体" w:hAnsi="楷体" w:eastAsia="楷体" w:cs="楷体"/>
                <w:color w:val="FF0000"/>
                <w:sz w:val="28"/>
                <w:szCs w:val="28"/>
                <w:highlight w:val="none"/>
                <w:lang w:val="en-US" w:eastAsia="zh-CN"/>
              </w:rPr>
              <w:t>3</w:t>
            </w:r>
            <w:r>
              <w:rPr>
                <w:rFonts w:hint="eastAsia" w:ascii="楷体" w:hAnsi="楷体" w:eastAsia="楷体" w:cs="楷体"/>
                <w:color w:val="FF0000"/>
                <w:sz w:val="28"/>
                <w:szCs w:val="28"/>
                <w:highlight w:val="none"/>
                <w:lang w:val="zh-CN"/>
              </w:rPr>
              <w:t>00,-</w:t>
            </w:r>
            <w:r>
              <w:rPr>
                <w:rFonts w:hint="eastAsia" w:ascii="楷体" w:hAnsi="楷体" w:eastAsia="楷体" w:cs="楷体"/>
                <w:color w:val="FF0000"/>
                <w:sz w:val="28"/>
                <w:szCs w:val="28"/>
                <w:highlight w:val="none"/>
                <w:lang w:val="en-US" w:eastAsia="zh-CN"/>
              </w:rPr>
              <w:t>2</w:t>
            </w:r>
            <w:r>
              <w:rPr>
                <w:rFonts w:hint="eastAsia" w:ascii="楷体" w:hAnsi="楷体" w:eastAsia="楷体" w:cs="楷体"/>
                <w:color w:val="FF0000"/>
                <w:sz w:val="28"/>
                <w:szCs w:val="28"/>
                <w:highlight w:val="none"/>
                <w:lang w:val="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394"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39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烟煤：2022年3月31日前送3000吨。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w:t>
      </w:r>
      <w:r>
        <w:rPr>
          <w:rFonts w:hint="eastAsia" w:ascii="楷体" w:hAnsi="楷体" w:eastAsia="楷体" w:cs="Times New Roman"/>
          <w:color w:val="FF0000"/>
          <w:sz w:val="28"/>
          <w:szCs w:val="28"/>
          <w:highlight w:val="none"/>
          <w:lang w:val="en-US" w:eastAsia="zh-CN"/>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3</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25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3</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25</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ind w:firstLine="1080" w:firstLineChars="300"/>
        <w:jc w:val="center"/>
        <w:rPr>
          <w:rFonts w:hint="eastAsia" w:eastAsia="宋体"/>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102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lang w:val="en-US" w:eastAsia="zh-CN"/>
              </w:rPr>
              <w:t>≥22%</w:t>
            </w:r>
          </w:p>
        </w:tc>
        <w:tc>
          <w:tcPr>
            <w:tcW w:w="1005" w:type="dxa"/>
            <w:noWrap w:val="0"/>
            <w:vAlign w:val="center"/>
          </w:tcPr>
          <w:p>
            <w:pPr>
              <w:jc w:val="center"/>
              <w:rPr>
                <w:rFonts w:hint="default"/>
                <w:szCs w:val="21"/>
                <w:lang w:val="en-US" w:eastAsia="zh-CN"/>
              </w:rPr>
            </w:pPr>
            <w:r>
              <w:rPr>
                <w:rFonts w:hint="eastAsia" w:ascii="楷体" w:hAnsi="楷体" w:eastAsia="楷体" w:cs="楷体"/>
                <w:color w:val="FF0000"/>
                <w:sz w:val="28"/>
                <w:szCs w:val="28"/>
                <w:lang w:val="en-US" w:eastAsia="zh-CN"/>
              </w:rPr>
              <w:t>≤1.0%</w:t>
            </w:r>
          </w:p>
        </w:tc>
        <w:tc>
          <w:tcPr>
            <w:tcW w:w="930" w:type="dxa"/>
            <w:noWrap w:val="0"/>
            <w:vAlign w:val="center"/>
          </w:tcPr>
          <w:p>
            <w:pPr>
              <w:jc w:val="center"/>
              <w:rPr>
                <w:rFonts w:hint="eastAsia"/>
                <w:szCs w:val="21"/>
              </w:rPr>
            </w:pPr>
            <w:r>
              <w:rPr>
                <w:rFonts w:hint="eastAsia" w:ascii="楷体" w:hAnsi="楷体" w:eastAsia="楷体" w:cs="楷体"/>
                <w:color w:val="FF0000"/>
                <w:sz w:val="28"/>
                <w:szCs w:val="28"/>
                <w:lang w:val="en-US" w:eastAsia="zh-CN"/>
              </w:rPr>
              <w:t>≤11%</w:t>
            </w:r>
          </w:p>
        </w:tc>
        <w:tc>
          <w:tcPr>
            <w:tcW w:w="855" w:type="dxa"/>
            <w:noWrap w:val="0"/>
            <w:vAlign w:val="center"/>
          </w:tcPr>
          <w:p>
            <w:pPr>
              <w:spacing w:line="440" w:lineRule="exact"/>
              <w:jc w:val="center"/>
              <w:rPr>
                <w:rFonts w:hint="default"/>
                <w:szCs w:val="21"/>
                <w:lang w:val="en-US" w:eastAsia="zh-CN"/>
              </w:rPr>
            </w:pPr>
            <w:r>
              <w:rPr>
                <w:rFonts w:hint="eastAsia" w:ascii="楷体" w:hAnsi="楷体" w:eastAsia="楷体" w:cs="楷体"/>
                <w:color w:val="FF0000"/>
                <w:sz w:val="28"/>
                <w:szCs w:val="28"/>
                <w:highlight w:val="none"/>
                <w:lang w:val="en-US" w:eastAsia="zh-CN"/>
              </w:rPr>
              <w:t>≤9%</w:t>
            </w:r>
          </w:p>
        </w:tc>
        <w:tc>
          <w:tcPr>
            <w:tcW w:w="1035" w:type="dxa"/>
            <w:noWrap w:val="0"/>
            <w:vAlign w:val="center"/>
          </w:tcPr>
          <w:p>
            <w:pPr>
              <w:jc w:val="center"/>
              <w:rPr>
                <w:rFonts w:hint="eastAsia" w:eastAsia="宋体"/>
                <w:szCs w:val="21"/>
                <w:lang w:eastAsia="zh-CN"/>
              </w:rPr>
            </w:pPr>
            <w:r>
              <w:rPr>
                <w:rFonts w:hint="eastAsia" w:ascii="楷体" w:hAnsi="楷体" w:eastAsia="楷体" w:cs="楷体"/>
                <w:color w:val="FF0000"/>
                <w:sz w:val="28"/>
                <w:szCs w:val="28"/>
                <w:lang w:val="en-US" w:eastAsia="zh-CN"/>
              </w:rPr>
              <w:t>22-28%</w:t>
            </w:r>
          </w:p>
        </w:tc>
        <w:tc>
          <w:tcPr>
            <w:tcW w:w="108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highlight w:val="none"/>
                <w:lang w:val="en-US" w:eastAsia="zh-CN"/>
              </w:rPr>
              <w:t>≤4</w:t>
            </w:r>
          </w:p>
        </w:tc>
      </w:tr>
    </w:tbl>
    <w:p>
      <w:pPr>
        <w:numPr>
          <w:ilvl w:val="0"/>
          <w:numId w:val="0"/>
        </w:numPr>
        <w:adjustRightInd w:val="0"/>
        <w:snapToGrid w:val="0"/>
        <w:ind w:leftChars="150"/>
        <w:rPr>
          <w:rFonts w:hint="eastAsia"/>
          <w:szCs w:val="21"/>
        </w:rPr>
      </w:pPr>
    </w:p>
    <w:p>
      <w:pPr>
        <w:numPr>
          <w:ilvl w:val="0"/>
          <w:numId w:val="5"/>
        </w:numPr>
        <w:adjustRightInd w:val="0"/>
        <w:snapToGrid w:val="0"/>
        <w:ind w:left="104" w:leftChars="0" w:firstLine="316" w:firstLineChars="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yellow"/>
          <w:lang w:val="en-US" w:eastAsia="zh-CN"/>
        </w:rPr>
      </w:pPr>
      <w:r>
        <w:rPr>
          <w:rFonts w:hint="eastAsia"/>
          <w:color w:val="auto"/>
          <w:szCs w:val="21"/>
          <w:lang w:val="en-US" w:eastAsia="zh-CN"/>
        </w:rPr>
        <w:t>1、</w:t>
      </w:r>
      <w:r>
        <w:rPr>
          <w:rFonts w:hint="eastAsia"/>
          <w:color w:val="auto"/>
          <w:szCs w:val="21"/>
          <w:highlight w:val="yellow"/>
          <w:lang w:val="en-US" w:eastAsia="zh-CN"/>
        </w:rPr>
        <w:t>收到基低位发热量在（Q+300）Kcal/Kg（含）以上的，按照（基准价/Q*（Q+300））结算；发热量在(Q-200)（含）～（Q+300）Kcal/Kg之间，距离Q Kcal/Kg每增加或减少1 Kcal/Kg调增或调扣（基准价/Q）元/吨；发热量在(Q-200)Kcal/Kg以下的，扣款（基准价/Q *200） 元/吨后距离(Q-200)Kcal/Kg每少1 Kcal/Kg扣（基准价/Q *2）元/吨；收到煤炭的基低位发热量低于(Q-500)Kcal/Kg时，需方有权拒收或按80元/吨计算煤价。</w:t>
      </w:r>
    </w:p>
    <w:p>
      <w:pPr>
        <w:ind w:firstLine="420" w:firstLineChars="200"/>
        <w:rPr>
          <w:rFonts w:hint="default"/>
          <w:color w:val="auto"/>
          <w:szCs w:val="21"/>
          <w:highlight w:val="none"/>
          <w:lang w:val="en-US" w:eastAsia="zh-CN"/>
        </w:rPr>
      </w:pPr>
      <w:r>
        <w:rPr>
          <w:rFonts w:hint="eastAsia"/>
          <w:color w:val="auto"/>
          <w:szCs w:val="21"/>
          <w:lang w:val="en-US" w:eastAsia="zh-CN"/>
        </w:rPr>
        <w:t>2、</w:t>
      </w:r>
      <w:r>
        <w:rPr>
          <w:rFonts w:hint="eastAsia"/>
          <w:color w:val="auto"/>
          <w:szCs w:val="21"/>
          <w:highlight w:val="none"/>
          <w:lang w:val="en-US" w:eastAsia="zh-CN"/>
        </w:rPr>
        <w:t>收到基全水高于X％时，每高0.1%扣总吨位的0.1%数量，扣减水分不增加热值；收到基外水高于X％时，每高0.1%扣总吨位的0.1%数量，扣减水分不增加热值，若收到基外水高于</w:t>
      </w:r>
      <w:r>
        <w:rPr>
          <w:rFonts w:hint="eastAsia"/>
          <w:color w:val="auto"/>
          <w:szCs w:val="21"/>
          <w:highlight w:val="none"/>
          <w:u w:val="single"/>
          <w:lang w:val="en-US" w:eastAsia="zh-CN"/>
        </w:rPr>
        <w:t>（X＋  ）％</w:t>
      </w:r>
      <w:r>
        <w:rPr>
          <w:rFonts w:hint="eastAsia"/>
          <w:color w:val="auto"/>
          <w:szCs w:val="21"/>
          <w:highlight w:val="none"/>
          <w:lang w:val="en-US" w:eastAsia="zh-CN"/>
        </w:rPr>
        <w:t>时，需方有权拒收。若收到基全水和收到基外水均超过指标范围，按收到基外水指标扣款。</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6、焦渣特性超过合同指标范围时，需方有权拒收，若接收，按每偏差一个标号扣4元/吨结算。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高于1.2</w:t>
      </w:r>
      <w:r>
        <w:rPr>
          <w:rFonts w:hint="eastAsia" w:eastAsia="宋体" w:cs="Times New Roman"/>
          <w:color w:val="auto"/>
          <w:szCs w:val="21"/>
          <w:highlight w:val="yellow"/>
          <w:lang w:val="en-US" w:eastAsia="zh-CN"/>
        </w:rPr>
        <w:t>%，全水高于13%，外水高于11%，灰分高于30%，焦渣特性高于4，需方有权拒收或此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highlight w:val="none"/>
          <w:lang w:val="en-US" w:eastAsia="zh-CN"/>
        </w:rPr>
      </w:pPr>
    </w:p>
    <w:p>
      <w:pPr>
        <w:adjustRightInd w:val="0"/>
        <w:snapToGrid w:val="0"/>
        <w:rPr>
          <w:rFonts w:hint="default" w:eastAsia="宋体"/>
          <w:b/>
          <w:bCs/>
          <w:szCs w:val="21"/>
          <w:highlight w:val="none"/>
          <w:lang w:val="en-US" w:eastAsia="zh-CN"/>
        </w:rPr>
      </w:pPr>
      <w:r>
        <w:rPr>
          <w:rFonts w:hint="eastAsia"/>
          <w:b/>
          <w:bCs/>
          <w:szCs w:val="21"/>
          <w:highlight w:val="none"/>
          <w:lang w:val="en-US" w:eastAsia="zh-CN"/>
        </w:rPr>
        <w:t>五</w:t>
      </w:r>
      <w:r>
        <w:rPr>
          <w:rFonts w:hint="eastAsia"/>
          <w:b/>
          <w:bCs/>
          <w:szCs w:val="21"/>
          <w:highlight w:val="none"/>
        </w:rPr>
        <w:t>、交货方式</w:t>
      </w:r>
      <w:r>
        <w:rPr>
          <w:rFonts w:hint="eastAsia"/>
          <w:b/>
          <w:bCs/>
          <w:szCs w:val="21"/>
          <w:highlight w:val="none"/>
          <w:lang w:eastAsia="zh-CN"/>
        </w:rPr>
        <w:t>、</w:t>
      </w:r>
      <w:r>
        <w:rPr>
          <w:rFonts w:hint="eastAsia"/>
          <w:b/>
          <w:bCs/>
          <w:szCs w:val="21"/>
          <w:highlight w:val="none"/>
        </w:rPr>
        <w:t>时间</w:t>
      </w:r>
      <w:r>
        <w:rPr>
          <w:rFonts w:hint="eastAsia"/>
          <w:b/>
          <w:bCs/>
          <w:szCs w:val="21"/>
          <w:highlight w:val="none"/>
          <w:lang w:val="en-US" w:eastAsia="zh-CN"/>
        </w:rPr>
        <w:t>及地点</w:t>
      </w:r>
    </w:p>
    <w:p>
      <w:pPr>
        <w:numPr>
          <w:ilvl w:val="0"/>
          <w:numId w:val="0"/>
        </w:numPr>
        <w:ind w:firstLine="420" w:firstLineChars="200"/>
        <w:rPr>
          <w:rFonts w:hint="eastAsia" w:ascii="宋体" w:hAnsi="宋体" w:eastAsia="宋体" w:cs="宋体"/>
          <w:b w:val="0"/>
          <w:bCs/>
          <w:sz w:val="21"/>
          <w:szCs w:val="21"/>
          <w:highlight w:val="none"/>
          <w:lang w:eastAsia="zh-CN"/>
        </w:rPr>
      </w:pPr>
      <w:r>
        <w:rPr>
          <w:rFonts w:hint="eastAsia"/>
          <w:szCs w:val="21"/>
          <w:highlight w:val="none"/>
          <w:lang w:val="en-US" w:eastAsia="zh-CN"/>
        </w:rPr>
        <w:t>（一）交货时间：</w:t>
      </w:r>
      <w:r>
        <w:rPr>
          <w:rFonts w:hint="eastAsia" w:ascii="宋体" w:hAnsi="宋体" w:eastAsia="宋体" w:cs="宋体"/>
          <w:b w:val="0"/>
          <w:bCs/>
          <w:sz w:val="21"/>
          <w:szCs w:val="21"/>
          <w:highlight w:val="none"/>
        </w:rPr>
        <w:t>本合同约定交货时间为</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 (具体</w:t>
      </w:r>
      <w:r>
        <w:rPr>
          <w:rFonts w:hint="eastAsia" w:ascii="宋体" w:hAnsi="宋体" w:eastAsia="宋体" w:cs="宋体"/>
          <w:b w:val="0"/>
          <w:bCs/>
          <w:sz w:val="21"/>
          <w:szCs w:val="21"/>
          <w:highlight w:val="none"/>
          <w:lang w:val="en-US" w:eastAsia="zh-CN"/>
        </w:rPr>
        <w:t>每批次</w:t>
      </w:r>
      <w:r>
        <w:rPr>
          <w:rFonts w:hint="eastAsia" w:ascii="宋体" w:hAnsi="宋体" w:eastAsia="宋体" w:cs="宋体"/>
          <w:b w:val="0"/>
          <w:bCs/>
          <w:sz w:val="21"/>
          <w:szCs w:val="21"/>
          <w:highlight w:val="none"/>
        </w:rPr>
        <w:t>到货时间及数量</w:t>
      </w:r>
      <w:r>
        <w:rPr>
          <w:rFonts w:hint="eastAsia" w:ascii="宋体" w:hAnsi="宋体" w:eastAsia="宋体" w:cs="宋体"/>
          <w:b w:val="0"/>
          <w:bCs/>
          <w:sz w:val="21"/>
          <w:szCs w:val="21"/>
          <w:highlight w:val="none"/>
          <w:lang w:val="en-US" w:eastAsia="zh-CN"/>
        </w:rPr>
        <w:t>以</w:t>
      </w:r>
      <w:r>
        <w:rPr>
          <w:rFonts w:hint="eastAsia" w:ascii="宋体" w:hAnsi="宋体" w:eastAsia="宋体" w:cs="宋体"/>
          <w:b w:val="0"/>
          <w:bCs/>
          <w:sz w:val="21"/>
          <w:szCs w:val="21"/>
          <w:highlight w:val="none"/>
        </w:rPr>
        <w:t>需方通知</w:t>
      </w:r>
      <w:r>
        <w:rPr>
          <w:rFonts w:hint="eastAsia" w:ascii="宋体" w:hAnsi="宋体" w:eastAsia="宋体" w:cs="宋体"/>
          <w:b w:val="0"/>
          <w:bCs/>
          <w:sz w:val="21"/>
          <w:szCs w:val="21"/>
          <w:highlight w:val="none"/>
          <w:lang w:val="en-US" w:eastAsia="zh-CN"/>
        </w:rPr>
        <w:t>为准</w:t>
      </w:r>
      <w:r>
        <w:rPr>
          <w:rFonts w:hint="eastAsia" w:ascii="宋体" w:hAnsi="宋体" w:eastAsia="宋体" w:cs="宋体"/>
          <w:b w:val="0"/>
          <w:bCs/>
          <w:sz w:val="21"/>
          <w:szCs w:val="21"/>
          <w:highlight w:val="none"/>
        </w:rPr>
        <w:t>)，逾期需方有权拒收</w:t>
      </w:r>
      <w:r>
        <w:rPr>
          <w:rFonts w:hint="eastAsia" w:ascii="宋体" w:hAnsi="宋体" w:eastAsia="宋体" w:cs="宋体"/>
          <w:b w:val="0"/>
          <w:bCs/>
          <w:sz w:val="21"/>
          <w:szCs w:val="21"/>
          <w:highlight w:val="none"/>
          <w:lang w:eastAsia="zh-CN"/>
        </w:rPr>
        <w:t>。</w:t>
      </w:r>
    </w:p>
    <w:p>
      <w:pPr>
        <w:numPr>
          <w:ilvl w:val="0"/>
          <w:numId w:val="0"/>
        </w:numPr>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（二）交货地点：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公司</w:t>
      </w:r>
      <w:r>
        <w:rPr>
          <w:rFonts w:hint="eastAsia" w:ascii="宋体" w:hAnsi="宋体" w:eastAsia="宋体" w:cs="宋体"/>
          <w:b w:val="0"/>
          <w:bCs/>
          <w:sz w:val="21"/>
          <w:szCs w:val="21"/>
          <w:highlight w:val="none"/>
          <w:u w:val="single"/>
          <w:lang w:val="en-US" w:eastAsia="zh-CN"/>
        </w:rPr>
        <w:t>码头或煤场</w:t>
      </w:r>
      <w:r>
        <w:rPr>
          <w:rFonts w:hint="eastAsia" w:ascii="宋体" w:hAnsi="宋体" w:eastAsia="宋体" w:cs="宋体"/>
          <w:b w:val="0"/>
          <w:bCs/>
          <w:sz w:val="21"/>
          <w:szCs w:val="21"/>
          <w:highlight w:val="none"/>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highlight w:val="none"/>
          <w:lang w:val="en-US" w:eastAsia="zh-CN"/>
        </w:rPr>
        <w:t>（三） 供方在煤炭发运前应通知</w:t>
      </w:r>
      <w:r>
        <w:rPr>
          <w:rFonts w:hint="eastAsia" w:ascii="宋体" w:hAnsi="宋体" w:eastAsia="宋体" w:cs="宋体"/>
          <w:b w:val="0"/>
          <w:bCs/>
          <w:sz w:val="21"/>
          <w:szCs w:val="21"/>
          <w:highlight w:val="none"/>
        </w:rPr>
        <w:t>需方，需方有权根据需要派化验员去供方的煤炭储存</w:t>
      </w:r>
      <w:r>
        <w:rPr>
          <w:rFonts w:hint="eastAsia" w:ascii="宋体" w:hAnsi="宋体" w:eastAsia="宋体" w:cs="宋体"/>
          <w:b w:val="0"/>
          <w:bCs/>
          <w:sz w:val="21"/>
          <w:szCs w:val="21"/>
        </w:rPr>
        <w:t>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bookmarkStart w:id="0" w:name="_GoBack"/>
      <w:bookmarkEnd w:id="0"/>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0B1D90"/>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43824"/>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3E1146"/>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552E93"/>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B64DF7"/>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14</TotalTime>
  <ScaleCrop>false</ScaleCrop>
  <LinksUpToDate>false</LinksUpToDate>
  <CharactersWithSpaces>12409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2022-03-23T05:58:00Z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