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2022</w:t>
      </w:r>
      <w:r>
        <w:rPr>
          <w:rFonts w:hint="eastAsia" w:ascii="楷体" w:hAnsi="楷体" w:eastAsia="楷体"/>
          <w:sz w:val="32"/>
          <w:szCs w:val="32"/>
        </w:rPr>
        <w:t>年</w:t>
      </w:r>
      <w:r>
        <w:rPr>
          <w:rFonts w:hint="eastAsia" w:ascii="楷体" w:hAnsi="楷体" w:eastAsia="楷体"/>
          <w:sz w:val="32"/>
          <w:szCs w:val="32"/>
          <w:lang w:val="en-US" w:eastAsia="zh-CN"/>
        </w:rPr>
        <w:t>2</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highlight w:val="yellow"/>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1、电厂用煤炭：烟煤、蒙煤、干煤泥</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r>
        <w:rPr>
          <w:rFonts w:hint="eastAsia" w:ascii="楷体" w:hAnsi="楷体" w:eastAsia="楷体" w:cs="楷体"/>
          <w:color w:val="FF0000"/>
          <w:sz w:val="28"/>
          <w:szCs w:val="28"/>
          <w:highlight w:val="yellow"/>
          <w:lang w:val="en-US" w:eastAsia="zh-CN"/>
        </w:rPr>
        <w:t>（允许有差异，可按最接近的实际指标填报）</w:t>
      </w:r>
    </w:p>
    <w:tbl>
      <w:tblPr>
        <w:tblStyle w:val="9"/>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5"/>
        <w:gridCol w:w="2392"/>
        <w:gridCol w:w="2266"/>
        <w:gridCol w:w="2266"/>
        <w:gridCol w:w="2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392"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226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烟煤</w:t>
            </w:r>
          </w:p>
        </w:tc>
        <w:tc>
          <w:tcPr>
            <w:tcW w:w="2266" w:type="dxa"/>
            <w:tcMar>
              <w:top w:w="0" w:type="dxa"/>
              <w:left w:w="108" w:type="dxa"/>
              <w:bottom w:w="0" w:type="dxa"/>
              <w:right w:w="108" w:type="dxa"/>
            </w:tcMar>
            <w:vAlign w:val="center"/>
          </w:tcPr>
          <w:p>
            <w:pPr>
              <w:numPr>
                <w:ilvl w:val="0"/>
                <w:numId w:val="0"/>
              </w:numPr>
              <w:spacing w:line="240" w:lineRule="auto"/>
              <w:ind w:left="0" w:leftChars="0" w:firstLine="0" w:firstLineChars="0"/>
              <w:jc w:val="center"/>
              <w:rPr>
                <w:rFonts w:hint="eastAsia" w:ascii="楷体" w:hAnsi="楷体" w:eastAsia="楷体" w:cs="楷体"/>
                <w:color w:val="FF0000"/>
                <w:kern w:val="2"/>
                <w:sz w:val="28"/>
                <w:szCs w:val="28"/>
                <w:lang w:val="en-US" w:eastAsia="zh-CN" w:bidi="ar-SA"/>
              </w:rPr>
            </w:pPr>
            <w:r>
              <w:rPr>
                <w:rFonts w:hint="eastAsia" w:ascii="楷体" w:hAnsi="楷体" w:eastAsia="楷体" w:cs="Times New Roman"/>
                <w:color w:val="FF0000"/>
                <w:sz w:val="28"/>
                <w:szCs w:val="28"/>
                <w:lang w:val="en-US" w:eastAsia="zh-CN"/>
              </w:rPr>
              <w:t>蒙煤</w:t>
            </w:r>
          </w:p>
        </w:tc>
        <w:tc>
          <w:tcPr>
            <w:tcW w:w="2010"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干煤泥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1</w:t>
            </w:r>
          </w:p>
        </w:tc>
        <w:tc>
          <w:tcPr>
            <w:tcW w:w="2392"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收到基低位发热量</w:t>
            </w:r>
          </w:p>
        </w:tc>
        <w:tc>
          <w:tcPr>
            <w:tcW w:w="226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s="楷体"/>
                <w:color w:val="FF0000"/>
                <w:sz w:val="28"/>
                <w:szCs w:val="28"/>
                <w:highlight w:val="yellow"/>
                <w:lang w:val="zh-CN"/>
              </w:rPr>
              <w:t>5000(+</w:t>
            </w:r>
            <w:r>
              <w:rPr>
                <w:rFonts w:hint="eastAsia" w:ascii="楷体" w:hAnsi="楷体" w:eastAsia="楷体" w:cs="楷体"/>
                <w:color w:val="FF0000"/>
                <w:sz w:val="28"/>
                <w:szCs w:val="28"/>
                <w:highlight w:val="yellow"/>
                <w:lang w:val="en-US" w:eastAsia="zh-CN"/>
              </w:rPr>
              <w:t>3</w:t>
            </w:r>
            <w:r>
              <w:rPr>
                <w:rFonts w:hint="eastAsia" w:ascii="楷体" w:hAnsi="楷体" w:eastAsia="楷体" w:cs="楷体"/>
                <w:color w:val="FF0000"/>
                <w:sz w:val="28"/>
                <w:szCs w:val="28"/>
                <w:highlight w:val="yellow"/>
                <w:lang w:val="zh-CN"/>
              </w:rPr>
              <w:t>00,-</w:t>
            </w:r>
            <w:r>
              <w:rPr>
                <w:rFonts w:hint="eastAsia" w:ascii="楷体" w:hAnsi="楷体" w:eastAsia="楷体" w:cs="楷体"/>
                <w:color w:val="FF0000"/>
                <w:sz w:val="28"/>
                <w:szCs w:val="28"/>
                <w:highlight w:val="yellow"/>
                <w:lang w:val="en-US" w:eastAsia="zh-CN"/>
              </w:rPr>
              <w:t>2</w:t>
            </w:r>
            <w:r>
              <w:rPr>
                <w:rFonts w:hint="eastAsia" w:ascii="楷体" w:hAnsi="楷体" w:eastAsia="楷体" w:cs="楷体"/>
                <w:color w:val="FF0000"/>
                <w:sz w:val="28"/>
                <w:szCs w:val="28"/>
                <w:highlight w:val="yellow"/>
                <w:lang w:val="zh-CN"/>
              </w:rPr>
              <w:t>00)</w:t>
            </w:r>
          </w:p>
        </w:tc>
        <w:tc>
          <w:tcPr>
            <w:tcW w:w="2266" w:type="dxa"/>
            <w:tcMar>
              <w:top w:w="0" w:type="dxa"/>
              <w:left w:w="108" w:type="dxa"/>
              <w:bottom w:w="0" w:type="dxa"/>
              <w:right w:w="108" w:type="dxa"/>
            </w:tcMar>
            <w:vAlign w:val="center"/>
          </w:tcPr>
          <w:p>
            <w:pPr>
              <w:autoSpaceDE w:val="0"/>
              <w:autoSpaceDN w:val="0"/>
              <w:jc w:val="center"/>
              <w:rPr>
                <w:rFonts w:hint="eastAsia" w:ascii="楷体" w:hAnsi="楷体" w:eastAsia="楷体" w:cstheme="minorBidi"/>
                <w:color w:val="FF0000"/>
                <w:kern w:val="0"/>
                <w:sz w:val="28"/>
                <w:szCs w:val="28"/>
                <w:highlight w:val="none"/>
                <w:lang w:val="en-US" w:eastAsia="zh-CN" w:bidi="ar-SA"/>
              </w:rPr>
            </w:pPr>
            <w:r>
              <w:rPr>
                <w:rFonts w:hint="eastAsia" w:ascii="楷体" w:hAnsi="楷体" w:eastAsia="楷体" w:cs="楷体"/>
                <w:color w:val="FF0000"/>
                <w:sz w:val="28"/>
                <w:szCs w:val="28"/>
                <w:lang w:val="en-US" w:eastAsia="zh-CN"/>
              </w:rPr>
              <w:t>4800-5200</w:t>
            </w:r>
          </w:p>
        </w:tc>
        <w:tc>
          <w:tcPr>
            <w:tcW w:w="2010"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≥3</w:t>
            </w:r>
            <w:r>
              <w:rPr>
                <w:rFonts w:hint="eastAsia" w:ascii="楷体" w:hAnsi="楷体" w:eastAsia="楷体"/>
                <w:color w:val="FF0000"/>
                <w:kern w:val="0"/>
                <w:sz w:val="28"/>
                <w:szCs w:val="28"/>
                <w:highlight w:val="none"/>
                <w:lang w:val="en-US" w:eastAsia="zh-CN"/>
              </w:rPr>
              <w:t>0</w:t>
            </w:r>
            <w:r>
              <w:rPr>
                <w:rFonts w:hint="eastAsia" w:ascii="楷体" w:hAnsi="楷体" w:eastAsia="楷体"/>
                <w:color w:val="FF0000"/>
                <w:kern w:val="0"/>
                <w:sz w:val="28"/>
                <w:szCs w:val="28"/>
                <w:highlight w:val="none"/>
              </w:rPr>
              <w:t>00Kcal/kg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39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226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≤1.0%</w:t>
            </w:r>
          </w:p>
        </w:tc>
        <w:tc>
          <w:tcPr>
            <w:tcW w:w="2266" w:type="dxa"/>
            <w:tcMar>
              <w:top w:w="0" w:type="dxa"/>
              <w:left w:w="108" w:type="dxa"/>
              <w:bottom w:w="0" w:type="dxa"/>
              <w:right w:w="108" w:type="dxa"/>
            </w:tcMar>
            <w:vAlign w:val="center"/>
          </w:tcPr>
          <w:p>
            <w:pPr>
              <w:spacing w:line="240" w:lineRule="auto"/>
              <w:jc w:val="center"/>
              <w:rPr>
                <w:rFonts w:hint="eastAsia" w:ascii="楷体" w:hAnsi="楷体" w:eastAsia="楷体" w:cstheme="minorBidi"/>
                <w:color w:val="FF0000"/>
                <w:kern w:val="0"/>
                <w:sz w:val="28"/>
                <w:szCs w:val="28"/>
                <w:lang w:val="en-US" w:eastAsia="zh-CN" w:bidi="ar-SA"/>
              </w:rPr>
            </w:pPr>
            <w:r>
              <w:rPr>
                <w:rFonts w:hint="eastAsia" w:ascii="楷体" w:hAnsi="楷体" w:eastAsia="楷体" w:cs="楷体"/>
                <w:color w:val="FF0000"/>
                <w:sz w:val="28"/>
                <w:szCs w:val="28"/>
                <w:lang w:val="en-US" w:eastAsia="zh-CN"/>
              </w:rPr>
              <w:t>≤0.6%</w:t>
            </w:r>
          </w:p>
        </w:tc>
        <w:tc>
          <w:tcPr>
            <w:tcW w:w="2010"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39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26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22-28%</w:t>
            </w:r>
          </w:p>
        </w:tc>
        <w:tc>
          <w:tcPr>
            <w:tcW w:w="2266" w:type="dxa"/>
            <w:tcMar>
              <w:top w:w="0" w:type="dxa"/>
              <w:left w:w="108" w:type="dxa"/>
              <w:bottom w:w="0" w:type="dxa"/>
              <w:right w:w="108" w:type="dxa"/>
            </w:tcMar>
            <w:vAlign w:val="center"/>
          </w:tcPr>
          <w:p>
            <w:pPr>
              <w:spacing w:line="240" w:lineRule="auto"/>
              <w:jc w:val="center"/>
              <w:rPr>
                <w:rFonts w:hint="eastAsia" w:ascii="楷体" w:hAnsi="楷体" w:eastAsia="楷体" w:cstheme="minorBidi"/>
                <w:color w:val="FF0000"/>
                <w:kern w:val="0"/>
                <w:sz w:val="28"/>
                <w:szCs w:val="28"/>
                <w:lang w:val="en-US" w:eastAsia="zh-CN" w:bidi="ar-SA"/>
              </w:rPr>
            </w:pPr>
            <w:r>
              <w:rPr>
                <w:rFonts w:hint="eastAsia" w:ascii="楷体" w:hAnsi="楷体" w:eastAsia="楷体" w:cs="楷体"/>
                <w:color w:val="FF0000"/>
                <w:sz w:val="28"/>
                <w:szCs w:val="28"/>
                <w:lang w:val="en-US" w:eastAsia="zh-CN"/>
              </w:rPr>
              <w:t>≤15%</w:t>
            </w:r>
          </w:p>
        </w:tc>
        <w:tc>
          <w:tcPr>
            <w:tcW w:w="2010"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4</w:t>
            </w:r>
          </w:p>
        </w:tc>
        <w:tc>
          <w:tcPr>
            <w:tcW w:w="239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highlight w:val="none"/>
                <w:lang w:eastAsia="zh-CN"/>
              </w:rPr>
            </w:pPr>
            <w:r>
              <w:rPr>
                <w:rFonts w:hint="eastAsia" w:ascii="楷体" w:hAnsi="楷体" w:eastAsia="楷体" w:cs="楷体"/>
                <w:color w:val="FF0000"/>
                <w:sz w:val="24"/>
                <w:szCs w:val="24"/>
                <w:highlight w:val="none"/>
              </w:rPr>
              <w:t>收到基全水分</w:t>
            </w:r>
          </w:p>
        </w:tc>
        <w:tc>
          <w:tcPr>
            <w:tcW w:w="226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s="楷体"/>
                <w:color w:val="FF0000"/>
                <w:sz w:val="28"/>
                <w:szCs w:val="28"/>
                <w:highlight w:val="yellow"/>
                <w:lang w:val="en-US" w:eastAsia="zh-CN"/>
              </w:rPr>
              <w:t>≤11%</w:t>
            </w:r>
          </w:p>
        </w:tc>
        <w:tc>
          <w:tcPr>
            <w:tcW w:w="2266" w:type="dxa"/>
            <w:tcMar>
              <w:top w:w="0" w:type="dxa"/>
              <w:left w:w="108" w:type="dxa"/>
              <w:bottom w:w="0" w:type="dxa"/>
              <w:right w:w="108" w:type="dxa"/>
            </w:tcMar>
            <w:vAlign w:val="center"/>
          </w:tcPr>
          <w:p>
            <w:pPr>
              <w:spacing w:line="240" w:lineRule="auto"/>
              <w:jc w:val="center"/>
              <w:rPr>
                <w:rFonts w:hint="eastAsia" w:ascii="楷体" w:hAnsi="楷体" w:eastAsia="楷体" w:cstheme="minorBidi"/>
                <w:color w:val="FF0000"/>
                <w:kern w:val="0"/>
                <w:sz w:val="28"/>
                <w:szCs w:val="28"/>
                <w:highlight w:val="none"/>
                <w:lang w:val="en-US" w:eastAsia="zh-CN" w:bidi="ar-SA"/>
              </w:rPr>
            </w:pPr>
            <w:r>
              <w:rPr>
                <w:rFonts w:hint="eastAsia" w:ascii="楷体" w:hAnsi="楷体" w:eastAsia="楷体" w:cs="楷体"/>
                <w:color w:val="FF0000"/>
                <w:sz w:val="28"/>
                <w:szCs w:val="28"/>
                <w:highlight w:val="yellow"/>
                <w:lang w:val="en-US" w:eastAsia="zh-CN"/>
              </w:rPr>
              <w:t>≤23%</w:t>
            </w:r>
          </w:p>
        </w:tc>
        <w:tc>
          <w:tcPr>
            <w:tcW w:w="2010"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5</w:t>
            </w:r>
          </w:p>
        </w:tc>
        <w:tc>
          <w:tcPr>
            <w:tcW w:w="239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收到基外水</w:t>
            </w:r>
          </w:p>
        </w:tc>
        <w:tc>
          <w:tcPr>
            <w:tcW w:w="226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color w:val="FF0000"/>
                <w:kern w:val="2"/>
                <w:sz w:val="21"/>
                <w:szCs w:val="22"/>
                <w:highlight w:val="none"/>
                <w:lang w:val="en-US" w:eastAsia="zh-CN" w:bidi="ar-SA"/>
              </w:rPr>
            </w:pPr>
            <w:r>
              <w:rPr>
                <w:rFonts w:hint="eastAsia" w:ascii="楷体" w:hAnsi="楷体" w:eastAsia="楷体" w:cs="楷体"/>
                <w:color w:val="FF0000"/>
                <w:sz w:val="28"/>
                <w:szCs w:val="28"/>
                <w:highlight w:val="none"/>
                <w:lang w:val="en-US" w:eastAsia="zh-CN"/>
              </w:rPr>
              <w:t>≤9%</w:t>
            </w:r>
          </w:p>
        </w:tc>
        <w:tc>
          <w:tcPr>
            <w:tcW w:w="226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color w:val="FF0000"/>
                <w:kern w:val="2"/>
                <w:sz w:val="21"/>
                <w:szCs w:val="22"/>
                <w:highlight w:val="none"/>
                <w:lang w:val="en-US" w:eastAsia="zh-CN" w:bidi="ar-SA"/>
              </w:rPr>
            </w:pPr>
            <w:r>
              <w:rPr>
                <w:rFonts w:hint="eastAsia" w:ascii="楷体" w:hAnsi="楷体" w:eastAsia="楷体" w:cs="楷体"/>
                <w:color w:val="FF0000"/>
                <w:sz w:val="28"/>
                <w:szCs w:val="28"/>
                <w:highlight w:val="none"/>
                <w:lang w:val="en-US" w:eastAsia="zh-CN"/>
              </w:rPr>
              <w:t>/</w:t>
            </w:r>
          </w:p>
        </w:tc>
        <w:tc>
          <w:tcPr>
            <w:tcW w:w="2010" w:type="dxa"/>
            <w:tcMar>
              <w:top w:w="0" w:type="dxa"/>
              <w:left w:w="108" w:type="dxa"/>
              <w:bottom w:w="0" w:type="dxa"/>
              <w:right w:w="108" w:type="dxa"/>
            </w:tcMar>
            <w:vAlign w:val="center"/>
          </w:tcPr>
          <w:p>
            <w:pPr>
              <w:spacing w:line="240" w:lineRule="auto"/>
              <w:jc w:val="center"/>
              <w:rPr>
                <w:rFonts w:hint="default" w:asciiTheme="minorHAnsi" w:hAnsiTheme="minorHAnsi" w:eastAsiaTheme="minorEastAsia" w:cstheme="minorBidi"/>
                <w:color w:val="FF0000"/>
                <w:kern w:val="2"/>
                <w:sz w:val="21"/>
                <w:szCs w:val="22"/>
                <w:highlight w:val="none"/>
                <w:lang w:val="en-US" w:eastAsia="zh-CN" w:bidi="ar-SA"/>
              </w:rPr>
            </w:pPr>
            <w:r>
              <w:rPr>
                <w:rFonts w:hint="eastAsia" w:cstheme="minorBidi"/>
                <w:color w:val="FF0000"/>
                <w:kern w:val="2"/>
                <w:sz w:val="21"/>
                <w:szCs w:val="22"/>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835"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239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226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≥22%</w:t>
            </w:r>
          </w:p>
        </w:tc>
        <w:tc>
          <w:tcPr>
            <w:tcW w:w="2266" w:type="dxa"/>
            <w:tcMar>
              <w:top w:w="0" w:type="dxa"/>
              <w:left w:w="108" w:type="dxa"/>
              <w:bottom w:w="0" w:type="dxa"/>
              <w:right w:w="108" w:type="dxa"/>
            </w:tcMar>
            <w:vAlign w:val="center"/>
          </w:tcPr>
          <w:p>
            <w:pPr>
              <w:spacing w:line="240" w:lineRule="auto"/>
              <w:jc w:val="center"/>
              <w:rPr>
                <w:rFonts w:hint="eastAsia" w:ascii="楷体" w:hAnsi="楷体" w:eastAsia="楷体" w:cstheme="minorBidi"/>
                <w:color w:val="FF0000"/>
                <w:kern w:val="0"/>
                <w:sz w:val="28"/>
                <w:szCs w:val="28"/>
                <w:lang w:val="en-US" w:eastAsia="zh-CN" w:bidi="ar-SA"/>
              </w:rPr>
            </w:pPr>
            <w:r>
              <w:rPr>
                <w:rFonts w:hint="eastAsia" w:ascii="楷体" w:hAnsi="楷体" w:eastAsia="楷体" w:cs="楷体"/>
                <w:i w:val="0"/>
                <w:color w:val="FF0000"/>
                <w:kern w:val="0"/>
                <w:sz w:val="28"/>
                <w:szCs w:val="28"/>
                <w:u w:val="none"/>
                <w:lang w:val="en-US" w:eastAsia="zh-CN" w:bidi="ar"/>
              </w:rPr>
              <w:t>20-30%</w:t>
            </w:r>
          </w:p>
        </w:tc>
        <w:tc>
          <w:tcPr>
            <w:tcW w:w="2010"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7</w:t>
            </w:r>
          </w:p>
        </w:tc>
        <w:tc>
          <w:tcPr>
            <w:tcW w:w="239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焦渣特性</w:t>
            </w:r>
          </w:p>
        </w:tc>
        <w:tc>
          <w:tcPr>
            <w:tcW w:w="226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s="楷体"/>
                <w:color w:val="FF0000"/>
                <w:sz w:val="28"/>
                <w:szCs w:val="28"/>
                <w:highlight w:val="none"/>
                <w:lang w:val="en-US" w:eastAsia="zh-CN"/>
              </w:rPr>
              <w:t>≤4</w:t>
            </w:r>
          </w:p>
        </w:tc>
        <w:tc>
          <w:tcPr>
            <w:tcW w:w="2266" w:type="dxa"/>
            <w:tcMar>
              <w:top w:w="0" w:type="dxa"/>
              <w:left w:w="108" w:type="dxa"/>
              <w:bottom w:w="0" w:type="dxa"/>
              <w:right w:w="108" w:type="dxa"/>
            </w:tcMar>
            <w:vAlign w:val="center"/>
          </w:tcPr>
          <w:p>
            <w:pPr>
              <w:spacing w:line="240" w:lineRule="auto"/>
              <w:jc w:val="center"/>
              <w:rPr>
                <w:rFonts w:hint="eastAsia" w:ascii="楷体" w:hAnsi="楷体" w:eastAsia="楷体" w:cstheme="minorBidi"/>
                <w:color w:val="FF0000"/>
                <w:kern w:val="0"/>
                <w:sz w:val="28"/>
                <w:szCs w:val="28"/>
                <w:highlight w:val="none"/>
                <w:lang w:val="en-US" w:eastAsia="zh-CN" w:bidi="ar-SA"/>
              </w:rPr>
            </w:pPr>
            <w:r>
              <w:rPr>
                <w:rFonts w:hint="eastAsia" w:ascii="楷体" w:hAnsi="楷体" w:eastAsia="楷体" w:cs="楷体"/>
                <w:color w:val="FF0000"/>
                <w:sz w:val="28"/>
                <w:szCs w:val="28"/>
                <w:highlight w:val="none"/>
                <w:lang w:val="en-US" w:eastAsia="zh-CN"/>
              </w:rPr>
              <w:t>≤4</w:t>
            </w:r>
          </w:p>
        </w:tc>
        <w:tc>
          <w:tcPr>
            <w:tcW w:w="2010"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239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2266"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c>
          <w:tcPr>
            <w:tcW w:w="2266"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c>
          <w:tcPr>
            <w:tcW w:w="2010"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239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2266"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5000</w:t>
            </w:r>
          </w:p>
        </w:tc>
        <w:tc>
          <w:tcPr>
            <w:tcW w:w="2266"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5000</w:t>
            </w: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5000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eastAsia"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烟煤：2022年3月18日前送5000吨。</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val="en-US" w:eastAsia="zh-CN"/>
        </w:rPr>
        <w:t>蒙煤：2022年3月18日前送5000吨。</w:t>
      </w:r>
    </w:p>
    <w:p>
      <w:pPr>
        <w:numPr>
          <w:ilvl w:val="0"/>
          <w:numId w:val="0"/>
        </w:numPr>
        <w:spacing w:line="240" w:lineRule="auto"/>
        <w:ind w:firstLine="560" w:firstLineChars="2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干煤泥：2022年3月16日前送5000吨。</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r>
        <w:rPr>
          <w:rFonts w:hint="eastAsia" w:ascii="楷体" w:hAnsi="楷体" w:eastAsia="楷体" w:cs="Times New Roman"/>
          <w:color w:val="FF0000"/>
          <w:sz w:val="28"/>
          <w:szCs w:val="28"/>
          <w:lang w:val="en-US" w:eastAsia="zh-CN"/>
        </w:rPr>
        <w:t>（</w:t>
      </w:r>
      <w:r>
        <w:rPr>
          <w:rFonts w:hint="eastAsia" w:ascii="楷体" w:hAnsi="楷体" w:eastAsia="楷体" w:cs="楷体"/>
          <w:color w:val="FF0000"/>
          <w:sz w:val="28"/>
          <w:szCs w:val="28"/>
          <w:highlight w:val="yellow"/>
          <w:lang w:val="en-US" w:eastAsia="zh-CN"/>
        </w:rPr>
        <w:t>允许有差异，可按最接近的实际交货时间填报</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5、合同格式详见附件4：《煤炭购销合同-烟煤、蒙煤、</w:t>
      </w:r>
      <w:r>
        <w:rPr>
          <w:rFonts w:hint="eastAsia" w:ascii="楷体" w:hAnsi="楷体" w:eastAsia="楷体" w:cs="Times New Roman"/>
          <w:color w:val="FF0000"/>
          <w:sz w:val="28"/>
          <w:szCs w:val="28"/>
          <w:highlight w:val="none"/>
          <w:lang w:val="en-US" w:eastAsia="zh-CN"/>
        </w:rPr>
        <w:t>干煤泥）》。</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3</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 xml:space="preserve"> 2 </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11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lang w:val="en-US" w:eastAsia="zh-CN"/>
        </w:rPr>
        <w:t>30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eastAsia="zh-CN"/>
        </w:rPr>
        <w:t>（</w:t>
      </w:r>
      <w:r>
        <w:rPr>
          <w:rFonts w:hint="eastAsia" w:cs="仿宋_GB2312" w:asciiTheme="minorEastAsia" w:hAnsiTheme="minorEastAsia"/>
          <w:b/>
          <w:bCs/>
          <w:color w:val="FF0000"/>
          <w:sz w:val="24"/>
          <w:lang w:val="en-US" w:eastAsia="zh-CN"/>
        </w:rPr>
        <w:t>烟煤、蒙煤</w:t>
      </w:r>
      <w:r>
        <w:rPr>
          <w:rFonts w:hint="eastAsia" w:cs="仿宋_GB2312" w:asciiTheme="minorEastAsia" w:hAnsiTheme="minorEastAsia"/>
          <w:b/>
          <w:bCs/>
          <w:color w:val="FF0000"/>
          <w:sz w:val="24"/>
          <w:lang w:eastAsia="zh-CN"/>
        </w:rPr>
        <w:t>）、</w:t>
      </w:r>
      <w:r>
        <w:rPr>
          <w:rFonts w:hint="eastAsia" w:cs="仿宋_GB2312" w:asciiTheme="minorEastAsia" w:hAnsiTheme="minorEastAsia"/>
          <w:b/>
          <w:bCs/>
          <w:color w:val="FF0000"/>
          <w:sz w:val="24"/>
          <w:lang w:val="en-US" w:eastAsia="zh-CN"/>
        </w:rPr>
        <w:t>20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eastAsia="zh-CN"/>
        </w:rPr>
        <w:t>（</w:t>
      </w:r>
      <w:r>
        <w:rPr>
          <w:rFonts w:hint="eastAsia" w:cs="仿宋_GB2312" w:asciiTheme="minorEastAsia" w:hAnsiTheme="minorEastAsia"/>
          <w:b/>
          <w:bCs/>
          <w:color w:val="FF0000"/>
          <w:sz w:val="24"/>
          <w:lang w:val="en-US" w:eastAsia="zh-CN"/>
        </w:rPr>
        <w:t>干煤泥</w:t>
      </w:r>
      <w:r>
        <w:rPr>
          <w:rFonts w:hint="eastAsia" w:cs="仿宋_GB2312" w:asciiTheme="minorEastAsia" w:hAnsiTheme="minorEastAsia"/>
          <w:b/>
          <w:bCs/>
          <w:color w:val="FF0000"/>
          <w:sz w:val="24"/>
          <w:lang w:eastAsia="zh-CN"/>
        </w:rPr>
        <w:t>）</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3</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2</w:t>
      </w:r>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11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ind w:right="720"/>
        <w:jc w:val="both"/>
        <w:textAlignment w:val="baseline"/>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附件4：</w:t>
      </w:r>
    </w:p>
    <w:p>
      <w:pPr>
        <w:ind w:firstLine="1080" w:firstLineChars="300"/>
        <w:jc w:val="center"/>
        <w:rPr>
          <w:rFonts w:hint="eastAsia" w:eastAsia="宋体"/>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烟煤）</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val="en-US" w:eastAsia="zh-CN"/>
        </w:rPr>
        <w:t>烟</w:t>
      </w:r>
      <w:r>
        <w:rPr>
          <w:rFonts w:hint="eastAsia"/>
          <w:szCs w:val="21"/>
          <w:lang w:eastAsia="zh-CN"/>
        </w:rPr>
        <w:t>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314" w:leftChars="0" w:firstLine="316" w:firstLineChars="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烟煤</w:t>
      </w:r>
    </w:p>
    <w:p>
      <w:pPr>
        <w:numPr>
          <w:ilvl w:val="0"/>
          <w:numId w:val="0"/>
        </w:numPr>
        <w:adjustRightInd w:val="0"/>
        <w:snapToGrid w:val="0"/>
        <w:ind w:leftChars="150"/>
        <w:rPr>
          <w:rFonts w:hint="eastAsia"/>
          <w:szCs w:val="21"/>
          <w:lang w:val="en-US" w:eastAsia="zh-CN"/>
        </w:rPr>
      </w:pPr>
    </w:p>
    <w:p>
      <w:pPr>
        <w:adjustRightInd w:val="0"/>
        <w:snapToGrid w:val="0"/>
        <w:ind w:left="180" w:firstLine="316" w:firstLineChars="150"/>
        <w:rPr>
          <w:rFonts w:hint="eastAsia"/>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020"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005"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930"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855"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035"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080"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szCs w:val="21"/>
              </w:rPr>
            </w:pPr>
            <w:r>
              <w:rPr>
                <w:rFonts w:hint="eastAsia" w:ascii="楷体" w:hAnsi="楷体" w:eastAsia="楷体" w:cs="楷体"/>
                <w:color w:val="FF0000"/>
                <w:sz w:val="28"/>
                <w:szCs w:val="28"/>
                <w:highlight w:val="yellow"/>
                <w:lang w:val="zh-CN"/>
              </w:rPr>
              <w:t>5000(+</w:t>
            </w:r>
            <w:r>
              <w:rPr>
                <w:rFonts w:hint="eastAsia" w:ascii="楷体" w:hAnsi="楷体" w:eastAsia="楷体" w:cs="楷体"/>
                <w:color w:val="FF0000"/>
                <w:sz w:val="28"/>
                <w:szCs w:val="28"/>
                <w:highlight w:val="yellow"/>
                <w:lang w:val="en-US" w:eastAsia="zh-CN"/>
              </w:rPr>
              <w:t>3</w:t>
            </w:r>
            <w:r>
              <w:rPr>
                <w:rFonts w:hint="eastAsia" w:ascii="楷体" w:hAnsi="楷体" w:eastAsia="楷体" w:cs="楷体"/>
                <w:color w:val="FF0000"/>
                <w:sz w:val="28"/>
                <w:szCs w:val="28"/>
                <w:highlight w:val="yellow"/>
                <w:lang w:val="zh-CN"/>
              </w:rPr>
              <w:t>00,-</w:t>
            </w:r>
            <w:r>
              <w:rPr>
                <w:rFonts w:hint="eastAsia" w:ascii="楷体" w:hAnsi="楷体" w:eastAsia="楷体" w:cs="楷体"/>
                <w:color w:val="FF0000"/>
                <w:sz w:val="28"/>
                <w:szCs w:val="28"/>
                <w:highlight w:val="yellow"/>
                <w:lang w:val="en-US" w:eastAsia="zh-CN"/>
              </w:rPr>
              <w:t>2</w:t>
            </w:r>
            <w:r>
              <w:rPr>
                <w:rFonts w:hint="eastAsia" w:ascii="楷体" w:hAnsi="楷体" w:eastAsia="楷体" w:cs="楷体"/>
                <w:color w:val="FF0000"/>
                <w:sz w:val="28"/>
                <w:szCs w:val="28"/>
                <w:highlight w:val="yellow"/>
                <w:lang w:val="zh-CN"/>
              </w:rPr>
              <w:t>00)</w:t>
            </w:r>
          </w:p>
        </w:tc>
        <w:tc>
          <w:tcPr>
            <w:tcW w:w="1020" w:type="dxa"/>
            <w:noWrap w:val="0"/>
            <w:vAlign w:val="center"/>
          </w:tcPr>
          <w:p>
            <w:pPr>
              <w:jc w:val="both"/>
              <w:rPr>
                <w:rFonts w:hint="default" w:eastAsia="宋体"/>
                <w:szCs w:val="21"/>
                <w:lang w:val="en-US" w:eastAsia="zh-CN"/>
              </w:rPr>
            </w:pPr>
            <w:r>
              <w:rPr>
                <w:rFonts w:hint="eastAsia" w:ascii="楷体" w:hAnsi="楷体" w:eastAsia="楷体" w:cs="楷体"/>
                <w:color w:val="FF0000"/>
                <w:sz w:val="28"/>
                <w:szCs w:val="28"/>
                <w:lang w:val="en-US" w:eastAsia="zh-CN"/>
              </w:rPr>
              <w:t>≥22%</w:t>
            </w:r>
          </w:p>
        </w:tc>
        <w:tc>
          <w:tcPr>
            <w:tcW w:w="1005" w:type="dxa"/>
            <w:noWrap w:val="0"/>
            <w:vAlign w:val="center"/>
          </w:tcPr>
          <w:p>
            <w:pPr>
              <w:jc w:val="center"/>
              <w:rPr>
                <w:rFonts w:hint="default"/>
                <w:szCs w:val="21"/>
                <w:lang w:val="en-US" w:eastAsia="zh-CN"/>
              </w:rPr>
            </w:pPr>
            <w:r>
              <w:rPr>
                <w:rFonts w:hint="eastAsia" w:ascii="楷体" w:hAnsi="楷体" w:eastAsia="楷体" w:cs="楷体"/>
                <w:color w:val="FF0000"/>
                <w:sz w:val="28"/>
                <w:szCs w:val="28"/>
                <w:lang w:val="en-US" w:eastAsia="zh-CN"/>
              </w:rPr>
              <w:t>≤1.0%</w:t>
            </w:r>
          </w:p>
        </w:tc>
        <w:tc>
          <w:tcPr>
            <w:tcW w:w="930" w:type="dxa"/>
            <w:noWrap w:val="0"/>
            <w:vAlign w:val="center"/>
          </w:tcPr>
          <w:p>
            <w:pPr>
              <w:jc w:val="center"/>
              <w:rPr>
                <w:rFonts w:hint="eastAsia"/>
                <w:szCs w:val="21"/>
              </w:rPr>
            </w:pPr>
            <w:r>
              <w:rPr>
                <w:rFonts w:hint="eastAsia" w:ascii="楷体" w:hAnsi="楷体" w:eastAsia="楷体" w:cs="楷体"/>
                <w:color w:val="FF0000"/>
                <w:sz w:val="28"/>
                <w:szCs w:val="28"/>
                <w:lang w:val="en-US" w:eastAsia="zh-CN"/>
              </w:rPr>
              <w:t>≤11%</w:t>
            </w:r>
          </w:p>
        </w:tc>
        <w:tc>
          <w:tcPr>
            <w:tcW w:w="855" w:type="dxa"/>
            <w:noWrap w:val="0"/>
            <w:vAlign w:val="center"/>
          </w:tcPr>
          <w:p>
            <w:pPr>
              <w:spacing w:line="440" w:lineRule="exact"/>
              <w:jc w:val="center"/>
              <w:rPr>
                <w:rFonts w:hint="default"/>
                <w:szCs w:val="21"/>
                <w:lang w:val="en-US" w:eastAsia="zh-CN"/>
              </w:rPr>
            </w:pPr>
            <w:r>
              <w:rPr>
                <w:rFonts w:hint="eastAsia" w:ascii="楷体" w:hAnsi="楷体" w:eastAsia="楷体" w:cs="楷体"/>
                <w:color w:val="FF0000"/>
                <w:sz w:val="28"/>
                <w:szCs w:val="28"/>
                <w:highlight w:val="none"/>
                <w:lang w:val="en-US" w:eastAsia="zh-CN"/>
              </w:rPr>
              <w:t>≤9%</w:t>
            </w:r>
          </w:p>
        </w:tc>
        <w:tc>
          <w:tcPr>
            <w:tcW w:w="1035" w:type="dxa"/>
            <w:noWrap w:val="0"/>
            <w:vAlign w:val="center"/>
          </w:tcPr>
          <w:p>
            <w:pPr>
              <w:jc w:val="center"/>
              <w:rPr>
                <w:rFonts w:hint="eastAsia" w:eastAsia="宋体"/>
                <w:szCs w:val="21"/>
                <w:lang w:eastAsia="zh-CN"/>
              </w:rPr>
            </w:pPr>
            <w:r>
              <w:rPr>
                <w:rFonts w:hint="eastAsia" w:ascii="楷体" w:hAnsi="楷体" w:eastAsia="楷体" w:cs="楷体"/>
                <w:color w:val="FF0000"/>
                <w:sz w:val="28"/>
                <w:szCs w:val="28"/>
                <w:lang w:val="en-US" w:eastAsia="zh-CN"/>
              </w:rPr>
              <w:t>22-28%</w:t>
            </w:r>
          </w:p>
        </w:tc>
        <w:tc>
          <w:tcPr>
            <w:tcW w:w="1080" w:type="dxa"/>
            <w:noWrap w:val="0"/>
            <w:vAlign w:val="center"/>
          </w:tcPr>
          <w:p>
            <w:pPr>
              <w:jc w:val="both"/>
              <w:rPr>
                <w:rFonts w:hint="default" w:eastAsia="宋体"/>
                <w:szCs w:val="21"/>
                <w:lang w:val="en-US" w:eastAsia="zh-CN"/>
              </w:rPr>
            </w:pPr>
            <w:r>
              <w:rPr>
                <w:rFonts w:hint="eastAsia" w:ascii="楷体" w:hAnsi="楷体" w:eastAsia="楷体" w:cs="楷体"/>
                <w:color w:val="FF0000"/>
                <w:sz w:val="28"/>
                <w:szCs w:val="28"/>
                <w:highlight w:val="none"/>
                <w:lang w:val="en-US" w:eastAsia="zh-CN"/>
              </w:rPr>
              <w:t>≤4</w:t>
            </w:r>
          </w:p>
        </w:tc>
      </w:tr>
    </w:tbl>
    <w:p>
      <w:pPr>
        <w:numPr>
          <w:ilvl w:val="0"/>
          <w:numId w:val="0"/>
        </w:numPr>
        <w:adjustRightInd w:val="0"/>
        <w:snapToGrid w:val="0"/>
        <w:ind w:leftChars="150"/>
        <w:rPr>
          <w:rFonts w:hint="eastAsia"/>
          <w:szCs w:val="21"/>
        </w:rPr>
      </w:pPr>
    </w:p>
    <w:p>
      <w:pPr>
        <w:numPr>
          <w:ilvl w:val="0"/>
          <w:numId w:val="5"/>
        </w:numPr>
        <w:adjustRightInd w:val="0"/>
        <w:snapToGrid w:val="0"/>
        <w:ind w:left="104" w:leftChars="0" w:firstLine="316" w:firstLineChars="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color w:val="auto"/>
          <w:szCs w:val="21"/>
          <w:lang w:eastAsia="zh-CN"/>
        </w:rPr>
        <w:t>（</w:t>
      </w:r>
      <w:r>
        <w:rPr>
          <w:rFonts w:hint="eastAsia"/>
          <w:b/>
          <w:bCs/>
          <w:color w:val="auto"/>
          <w:szCs w:val="21"/>
          <w:lang w:val="en-US" w:eastAsia="zh-CN"/>
        </w:rPr>
        <w:t>±5％以内</w:t>
      </w:r>
      <w:r>
        <w:rPr>
          <w:rFonts w:hint="eastAsia"/>
          <w:b/>
          <w:bCs/>
          <w:color w:val="auto"/>
          <w:szCs w:val="21"/>
          <w:lang w:eastAsia="zh-CN"/>
        </w:rPr>
        <w:t>）</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ascii="宋体" w:hAnsi="宋体" w:eastAsia="宋体" w:cs="宋体"/>
          <w:b/>
          <w:bCs/>
          <w:sz w:val="21"/>
          <w:szCs w:val="21"/>
          <w:lang w:val="en-US" w:eastAsia="zh-CN"/>
        </w:rPr>
      </w:pPr>
      <w:r>
        <w:rPr>
          <w:rFonts w:hint="eastAsia"/>
          <w:b/>
          <w:bCs/>
          <w:szCs w:val="21"/>
          <w:lang w:val="en-US" w:eastAsia="zh-CN"/>
        </w:rPr>
        <w:t>四</w:t>
      </w:r>
      <w:r>
        <w:rPr>
          <w:rFonts w:hint="eastAsia"/>
          <w:b/>
          <w:bCs/>
          <w:szCs w:val="21"/>
        </w:rPr>
        <w:t>、</w:t>
      </w:r>
      <w:r>
        <w:rPr>
          <w:rFonts w:hint="eastAsia" w:ascii="宋体" w:hAnsi="宋体" w:eastAsia="宋体" w:cs="宋体"/>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rPr>
        <w:t>元/吨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color w:val="auto"/>
          <w:szCs w:val="21"/>
          <w:highlight w:val="yellow"/>
          <w:lang w:val="en-US" w:eastAsia="zh-CN"/>
        </w:rPr>
      </w:pPr>
      <w:r>
        <w:rPr>
          <w:rFonts w:hint="eastAsia"/>
          <w:color w:val="auto"/>
          <w:szCs w:val="21"/>
          <w:lang w:val="en-US" w:eastAsia="zh-CN"/>
        </w:rPr>
        <w:t>1、</w:t>
      </w:r>
      <w:r>
        <w:rPr>
          <w:rFonts w:hint="eastAsia"/>
          <w:color w:val="auto"/>
          <w:szCs w:val="21"/>
          <w:highlight w:val="yellow"/>
          <w:lang w:val="en-US" w:eastAsia="zh-CN"/>
        </w:rPr>
        <w:t>收到基低位发热量在（Q+300）Kcal/Kg（含）以上的，按照（基准价/Q*（Q+300））结算；发热量在(Q-200)（含）～（Q+300）Kcal/Kg之间，距离Q Kcal/Kg每增加或减少1 Kcal/Kg调增或调扣（基准价/Q）元/吨；发热量在(Q-200)Kcal/Kg以下的，扣款（基准价/Q *200） 元/吨后距离(Q-200)Kcal/Kg每少1 Kcal/Kg扣（基准价/Q *2）元/吨；收到煤炭的基低位发热量低于(Q-500)Kcal/Kg时，需方有权拒收或按80元/吨计算煤价。</w:t>
      </w:r>
    </w:p>
    <w:p>
      <w:pPr>
        <w:ind w:firstLine="420" w:firstLineChars="200"/>
        <w:rPr>
          <w:rFonts w:hint="default"/>
          <w:color w:val="auto"/>
          <w:szCs w:val="21"/>
          <w:highlight w:val="none"/>
          <w:lang w:val="en-US" w:eastAsia="zh-CN"/>
        </w:rPr>
      </w:pPr>
      <w:r>
        <w:rPr>
          <w:rFonts w:hint="eastAsia"/>
          <w:color w:val="auto"/>
          <w:szCs w:val="21"/>
          <w:lang w:val="en-US" w:eastAsia="zh-CN"/>
        </w:rPr>
        <w:t>2、</w:t>
      </w:r>
      <w:r>
        <w:rPr>
          <w:rFonts w:hint="eastAsia"/>
          <w:color w:val="auto"/>
          <w:szCs w:val="21"/>
          <w:highlight w:val="none"/>
          <w:lang w:val="en-US" w:eastAsia="zh-CN"/>
        </w:rPr>
        <w:t>收到基全水高于X％时，每高0.1%扣总吨位的0.1%数量，扣减水分不增加热值；收到基外水高于X％时，每高0.1%扣总吨位的0.1%数量，扣减水分不增加热值，若收到基外水高于</w:t>
      </w:r>
      <w:r>
        <w:rPr>
          <w:rFonts w:hint="eastAsia"/>
          <w:color w:val="auto"/>
          <w:szCs w:val="21"/>
          <w:highlight w:val="none"/>
          <w:u w:val="single"/>
          <w:lang w:val="en-US" w:eastAsia="zh-CN"/>
        </w:rPr>
        <w:t>（X＋  ）％</w:t>
      </w:r>
      <w:r>
        <w:rPr>
          <w:rFonts w:hint="eastAsia"/>
          <w:color w:val="auto"/>
          <w:szCs w:val="21"/>
          <w:highlight w:val="none"/>
          <w:lang w:val="en-US" w:eastAsia="zh-CN"/>
        </w:rPr>
        <w:t>时，需方有权拒收。若收到基全水和收到基外水均超过指标范围，按收到基外水指标扣款。</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4、收到基挥发份＜X%时，按每低 1%扣4元/吨结算，不足1%按比例计算。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5、收到基灰份＞X%时，按每高 1%扣4元/吨结算，不足1%按比例计算。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6、焦渣特性超过合同指标范围时，需方有权拒收，若接收，按每偏差一个标号扣4元/吨结算。</w:t>
      </w:r>
    </w:p>
    <w:p>
      <w:pPr>
        <w:ind w:firstLine="420" w:firstLineChars="200"/>
        <w:jc w:val="both"/>
        <w:rPr>
          <w:rFonts w:hint="default"/>
          <w:color w:val="auto"/>
          <w:szCs w:val="21"/>
          <w:highlight w:val="none"/>
          <w:lang w:val="en-US" w:eastAsia="zh-CN"/>
        </w:rPr>
      </w:pPr>
      <w:r>
        <w:rPr>
          <w:rFonts w:hint="eastAsia"/>
          <w:color w:val="auto"/>
          <w:szCs w:val="21"/>
          <w:highlight w:val="none"/>
          <w:lang w:val="en-US" w:eastAsia="zh-CN"/>
        </w:rPr>
        <w:t>7、</w:t>
      </w:r>
      <w:r>
        <w:rPr>
          <w:rFonts w:hint="eastAsia"/>
          <w:color w:val="auto"/>
          <w:szCs w:val="21"/>
          <w:highlight w:val="yellow"/>
          <w:lang w:val="en-US" w:eastAsia="zh-CN"/>
        </w:rPr>
        <w:t>若单船煤炭</w:t>
      </w:r>
      <w:r>
        <w:rPr>
          <w:rFonts w:hint="eastAsia"/>
          <w:szCs w:val="21"/>
          <w:highlight w:val="yellow"/>
        </w:rPr>
        <w:t>低位发热量</w:t>
      </w:r>
      <w:r>
        <w:rPr>
          <w:rFonts w:hint="eastAsia"/>
          <w:szCs w:val="21"/>
          <w:highlight w:val="yellow"/>
          <w:lang w:val="en-US" w:eastAsia="zh-CN"/>
        </w:rPr>
        <w:t>低于4500</w:t>
      </w:r>
      <w:r>
        <w:rPr>
          <w:rFonts w:hint="eastAsia"/>
          <w:szCs w:val="21"/>
          <w:highlight w:val="yellow"/>
        </w:rPr>
        <w:t>kcal/kg</w:t>
      </w:r>
      <w:r>
        <w:rPr>
          <w:rFonts w:hint="eastAsia"/>
          <w:szCs w:val="21"/>
          <w:highlight w:val="yellow"/>
          <w:lang w:eastAsia="zh-CN"/>
        </w:rPr>
        <w:t>，</w:t>
      </w:r>
      <w:r>
        <w:rPr>
          <w:rFonts w:hint="eastAsia"/>
          <w:szCs w:val="21"/>
          <w:highlight w:val="yellow"/>
        </w:rPr>
        <w:t>全硫</w:t>
      </w:r>
      <w:r>
        <w:rPr>
          <w:rFonts w:hint="eastAsia"/>
          <w:szCs w:val="21"/>
          <w:highlight w:val="yellow"/>
          <w:lang w:val="en-US" w:eastAsia="zh-CN"/>
        </w:rPr>
        <w:t>高于1.2</w:t>
      </w:r>
      <w:r>
        <w:rPr>
          <w:rFonts w:hint="eastAsia" w:eastAsia="宋体" w:cs="Times New Roman"/>
          <w:color w:val="auto"/>
          <w:szCs w:val="21"/>
          <w:highlight w:val="yellow"/>
          <w:lang w:val="en-US" w:eastAsia="zh-CN"/>
        </w:rPr>
        <w:t>%，全水高于13%，外水高于11%，灰分高于30%，焦渣特性高于4，需方有权拒收或此</w:t>
      </w:r>
      <w:r>
        <w:rPr>
          <w:rFonts w:hint="eastAsia"/>
          <w:color w:val="auto"/>
          <w:szCs w:val="21"/>
          <w:highlight w:val="yellow"/>
          <w:lang w:val="en-US" w:eastAsia="zh-CN"/>
        </w:rPr>
        <w:t>单船</w:t>
      </w:r>
      <w:r>
        <w:rPr>
          <w:rFonts w:hint="eastAsia" w:eastAsia="宋体" w:cs="Times New Roman"/>
          <w:color w:val="auto"/>
          <w:szCs w:val="21"/>
          <w:highlight w:val="yellow"/>
          <w:lang w:val="en-US" w:eastAsia="zh-CN"/>
        </w:rPr>
        <w:t>按合同指标加扣。单船扣减价格接收后，仍计入本批次总量进行计算平均指标。</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8、若发现某批次有石块，根据实际情况随机抽取（车拉过磅），按石块占比进行扣减：</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石块/（煤炭+石头过磅吨位）0.1‰～0.5‰（含），扣除此批次吨位1‰。</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石块/（煤炭+石头过磅吨位）0.5‰～1‰（含），扣除此批次吨位2‰。</w:t>
      </w:r>
    </w:p>
    <w:p>
      <w:pPr>
        <w:ind w:firstLine="420" w:firstLineChars="200"/>
        <w:rPr>
          <w:rFonts w:hint="default"/>
          <w:color w:val="auto"/>
          <w:szCs w:val="21"/>
          <w:highlight w:val="none"/>
          <w:lang w:val="en-US" w:eastAsia="zh-CN"/>
        </w:rPr>
      </w:pPr>
      <w:r>
        <w:rPr>
          <w:rFonts w:hint="eastAsia"/>
          <w:color w:val="auto"/>
          <w:szCs w:val="21"/>
          <w:highlight w:val="none"/>
          <w:lang w:val="en-US" w:eastAsia="zh-CN"/>
        </w:rPr>
        <w:t>石块/（煤炭+石头过磅吨位）＞1‰，拒收。</w:t>
      </w:r>
    </w:p>
    <w:p>
      <w:pPr>
        <w:numPr>
          <w:ilvl w:val="0"/>
          <w:numId w:val="0"/>
        </w:numPr>
        <w:adjustRightInd w:val="0"/>
        <w:snapToGrid w:val="0"/>
        <w:ind w:left="420" w:leftChars="0"/>
        <w:rPr>
          <w:rFonts w:hint="eastAsia"/>
          <w:color w:val="FF0000"/>
          <w:szCs w:val="21"/>
          <w:lang w:val="en-US" w:eastAsia="zh-CN"/>
        </w:rPr>
      </w:pPr>
      <w:r>
        <w:rPr>
          <w:rFonts w:hint="eastAsia"/>
          <w:color w:val="FF0000"/>
          <w:szCs w:val="21"/>
          <w:lang w:val="en-US" w:eastAsia="zh-CN"/>
        </w:rPr>
        <w:t>9、若交货时间超过本合同约定到货时间3天及以内抵达交货地点的，单价下降5元/吨结算；若交货时间超过合同约定3天以上的，需方有权拒收。若需方同意接收，基准单价下降（ 0.0005 元/大卡*延期天数）结算（非供方及不可抗力因素除外）。</w:t>
      </w:r>
    </w:p>
    <w:p>
      <w:pPr>
        <w:numPr>
          <w:ilvl w:val="0"/>
          <w:numId w:val="0"/>
        </w:numPr>
        <w:adjustRightInd w:val="0"/>
        <w:snapToGrid w:val="0"/>
        <w:rPr>
          <w:rFonts w:hint="default"/>
          <w:b/>
          <w:bCs/>
          <w:szCs w:val="21"/>
          <w:highlight w:val="none"/>
          <w:lang w:val="en-US" w:eastAsia="zh-CN"/>
        </w:rPr>
      </w:pPr>
    </w:p>
    <w:p>
      <w:pPr>
        <w:adjustRightInd w:val="0"/>
        <w:snapToGrid w:val="0"/>
        <w:rPr>
          <w:rFonts w:hint="default" w:eastAsia="宋体"/>
          <w:b/>
          <w:bCs/>
          <w:szCs w:val="21"/>
          <w:highlight w:val="none"/>
          <w:lang w:val="en-US" w:eastAsia="zh-CN"/>
        </w:rPr>
      </w:pPr>
      <w:r>
        <w:rPr>
          <w:rFonts w:hint="eastAsia"/>
          <w:b/>
          <w:bCs/>
          <w:szCs w:val="21"/>
          <w:highlight w:val="none"/>
          <w:lang w:val="en-US" w:eastAsia="zh-CN"/>
        </w:rPr>
        <w:t>五</w:t>
      </w:r>
      <w:r>
        <w:rPr>
          <w:rFonts w:hint="eastAsia"/>
          <w:b/>
          <w:bCs/>
          <w:szCs w:val="21"/>
          <w:highlight w:val="none"/>
        </w:rPr>
        <w:t>、交货方式</w:t>
      </w:r>
      <w:r>
        <w:rPr>
          <w:rFonts w:hint="eastAsia"/>
          <w:b/>
          <w:bCs/>
          <w:szCs w:val="21"/>
          <w:highlight w:val="none"/>
          <w:lang w:eastAsia="zh-CN"/>
        </w:rPr>
        <w:t>、</w:t>
      </w:r>
      <w:r>
        <w:rPr>
          <w:rFonts w:hint="eastAsia"/>
          <w:b/>
          <w:bCs/>
          <w:szCs w:val="21"/>
          <w:highlight w:val="none"/>
        </w:rPr>
        <w:t>时间</w:t>
      </w:r>
      <w:r>
        <w:rPr>
          <w:rFonts w:hint="eastAsia"/>
          <w:b/>
          <w:bCs/>
          <w:szCs w:val="21"/>
          <w:highlight w:val="none"/>
          <w:lang w:val="en-US" w:eastAsia="zh-CN"/>
        </w:rPr>
        <w:t>及地点</w:t>
      </w:r>
    </w:p>
    <w:p>
      <w:pPr>
        <w:numPr>
          <w:ilvl w:val="0"/>
          <w:numId w:val="0"/>
        </w:numPr>
        <w:ind w:firstLine="420" w:firstLineChars="200"/>
        <w:rPr>
          <w:rFonts w:hint="eastAsia" w:ascii="宋体" w:hAnsi="宋体" w:eastAsia="宋体" w:cs="宋体"/>
          <w:b w:val="0"/>
          <w:bCs/>
          <w:sz w:val="21"/>
          <w:szCs w:val="21"/>
          <w:highlight w:val="none"/>
          <w:lang w:eastAsia="zh-CN"/>
        </w:rPr>
      </w:pPr>
      <w:r>
        <w:rPr>
          <w:rFonts w:hint="eastAsia"/>
          <w:szCs w:val="21"/>
          <w:highlight w:val="none"/>
          <w:lang w:val="en-US" w:eastAsia="zh-CN"/>
        </w:rPr>
        <w:t>（一）交货时间：</w:t>
      </w:r>
      <w:r>
        <w:rPr>
          <w:rFonts w:hint="eastAsia" w:ascii="宋体" w:hAnsi="宋体" w:eastAsia="宋体" w:cs="宋体"/>
          <w:b w:val="0"/>
          <w:bCs/>
          <w:sz w:val="21"/>
          <w:szCs w:val="21"/>
          <w:highlight w:val="none"/>
        </w:rPr>
        <w:t>本合同约定交货时间为</w:t>
      </w:r>
      <w:r>
        <w:rPr>
          <w:rFonts w:hint="eastAsia" w:ascii="宋体" w:hAnsi="宋体" w:eastAsia="宋体" w:cs="宋体"/>
          <w:b w:val="0"/>
          <w:bCs/>
          <w:sz w:val="21"/>
          <w:szCs w:val="21"/>
          <w:highlight w:val="none"/>
          <w:lang w:val="en-US" w:eastAsia="zh-CN"/>
        </w:rPr>
        <w:t>*</w:t>
      </w:r>
      <w:r>
        <w:rPr>
          <w:rFonts w:hint="eastAsia" w:ascii="宋体" w:hAnsi="宋体" w:eastAsia="宋体" w:cs="宋体"/>
          <w:b w:val="0"/>
          <w:bCs/>
          <w:sz w:val="21"/>
          <w:szCs w:val="21"/>
          <w:highlight w:val="none"/>
        </w:rPr>
        <w:t>年</w:t>
      </w:r>
      <w:r>
        <w:rPr>
          <w:rFonts w:hint="eastAsia" w:ascii="宋体" w:hAnsi="宋体" w:eastAsia="宋体" w:cs="宋体"/>
          <w:b w:val="0"/>
          <w:bCs/>
          <w:sz w:val="21"/>
          <w:szCs w:val="21"/>
          <w:highlight w:val="none"/>
          <w:lang w:val="en-US" w:eastAsia="zh-CN"/>
        </w:rPr>
        <w:t>*</w:t>
      </w:r>
      <w:r>
        <w:rPr>
          <w:rFonts w:hint="eastAsia" w:ascii="宋体" w:hAnsi="宋体" w:eastAsia="宋体" w:cs="宋体"/>
          <w:b w:val="0"/>
          <w:bCs/>
          <w:sz w:val="21"/>
          <w:szCs w:val="21"/>
          <w:highlight w:val="none"/>
        </w:rPr>
        <w:t>月</w:t>
      </w:r>
      <w:r>
        <w:rPr>
          <w:rFonts w:hint="eastAsia" w:ascii="宋体" w:hAnsi="宋体" w:eastAsia="宋体" w:cs="宋体"/>
          <w:b w:val="0"/>
          <w:bCs/>
          <w:sz w:val="21"/>
          <w:szCs w:val="21"/>
          <w:highlight w:val="none"/>
          <w:lang w:val="en-US" w:eastAsia="zh-CN"/>
        </w:rPr>
        <w:t>*</w:t>
      </w:r>
      <w:r>
        <w:rPr>
          <w:rFonts w:hint="eastAsia" w:ascii="宋体" w:hAnsi="宋体" w:eastAsia="宋体" w:cs="宋体"/>
          <w:b w:val="0"/>
          <w:bCs/>
          <w:sz w:val="21"/>
          <w:szCs w:val="21"/>
          <w:highlight w:val="none"/>
        </w:rPr>
        <w:t>日－</w:t>
      </w:r>
      <w:r>
        <w:rPr>
          <w:rFonts w:hint="eastAsia" w:ascii="宋体" w:hAnsi="宋体" w:eastAsia="宋体" w:cs="宋体"/>
          <w:b w:val="0"/>
          <w:bCs/>
          <w:sz w:val="21"/>
          <w:szCs w:val="21"/>
          <w:highlight w:val="none"/>
          <w:lang w:val="en-US" w:eastAsia="zh-CN"/>
        </w:rPr>
        <w:t>*</w:t>
      </w:r>
      <w:r>
        <w:rPr>
          <w:rFonts w:hint="eastAsia" w:ascii="宋体" w:hAnsi="宋体" w:eastAsia="宋体" w:cs="宋体"/>
          <w:b w:val="0"/>
          <w:bCs/>
          <w:sz w:val="21"/>
          <w:szCs w:val="21"/>
          <w:highlight w:val="none"/>
        </w:rPr>
        <w:t>年</w:t>
      </w:r>
      <w:r>
        <w:rPr>
          <w:rFonts w:hint="eastAsia" w:ascii="宋体" w:hAnsi="宋体" w:eastAsia="宋体" w:cs="宋体"/>
          <w:b w:val="0"/>
          <w:bCs/>
          <w:sz w:val="21"/>
          <w:szCs w:val="21"/>
          <w:highlight w:val="none"/>
          <w:lang w:val="en-US" w:eastAsia="zh-CN"/>
        </w:rPr>
        <w:t>*</w:t>
      </w:r>
      <w:r>
        <w:rPr>
          <w:rFonts w:hint="eastAsia" w:ascii="宋体" w:hAnsi="宋体" w:eastAsia="宋体" w:cs="宋体"/>
          <w:b w:val="0"/>
          <w:bCs/>
          <w:sz w:val="21"/>
          <w:szCs w:val="21"/>
          <w:highlight w:val="none"/>
        </w:rPr>
        <w:t>月</w:t>
      </w:r>
      <w:r>
        <w:rPr>
          <w:rFonts w:hint="eastAsia" w:ascii="宋体" w:hAnsi="宋体" w:eastAsia="宋体" w:cs="宋体"/>
          <w:b w:val="0"/>
          <w:bCs/>
          <w:sz w:val="21"/>
          <w:szCs w:val="21"/>
          <w:highlight w:val="none"/>
          <w:lang w:val="en-US" w:eastAsia="zh-CN"/>
        </w:rPr>
        <w:t>*</w:t>
      </w:r>
      <w:r>
        <w:rPr>
          <w:rFonts w:hint="eastAsia" w:ascii="宋体" w:hAnsi="宋体" w:eastAsia="宋体" w:cs="宋体"/>
          <w:b w:val="0"/>
          <w:bCs/>
          <w:sz w:val="21"/>
          <w:szCs w:val="21"/>
          <w:highlight w:val="none"/>
        </w:rPr>
        <w:t>日 (具体</w:t>
      </w:r>
      <w:r>
        <w:rPr>
          <w:rFonts w:hint="eastAsia" w:ascii="宋体" w:hAnsi="宋体" w:eastAsia="宋体" w:cs="宋体"/>
          <w:b w:val="0"/>
          <w:bCs/>
          <w:sz w:val="21"/>
          <w:szCs w:val="21"/>
          <w:highlight w:val="none"/>
          <w:lang w:val="en-US" w:eastAsia="zh-CN"/>
        </w:rPr>
        <w:t>每批次</w:t>
      </w:r>
      <w:r>
        <w:rPr>
          <w:rFonts w:hint="eastAsia" w:ascii="宋体" w:hAnsi="宋体" w:eastAsia="宋体" w:cs="宋体"/>
          <w:b w:val="0"/>
          <w:bCs/>
          <w:sz w:val="21"/>
          <w:szCs w:val="21"/>
          <w:highlight w:val="none"/>
        </w:rPr>
        <w:t>到货时间及数量</w:t>
      </w:r>
      <w:r>
        <w:rPr>
          <w:rFonts w:hint="eastAsia" w:ascii="宋体" w:hAnsi="宋体" w:eastAsia="宋体" w:cs="宋体"/>
          <w:b w:val="0"/>
          <w:bCs/>
          <w:sz w:val="21"/>
          <w:szCs w:val="21"/>
          <w:highlight w:val="none"/>
          <w:lang w:val="en-US" w:eastAsia="zh-CN"/>
        </w:rPr>
        <w:t>以</w:t>
      </w:r>
      <w:r>
        <w:rPr>
          <w:rFonts w:hint="eastAsia" w:ascii="宋体" w:hAnsi="宋体" w:eastAsia="宋体" w:cs="宋体"/>
          <w:b w:val="0"/>
          <w:bCs/>
          <w:sz w:val="21"/>
          <w:szCs w:val="21"/>
          <w:highlight w:val="none"/>
        </w:rPr>
        <w:t>需方通知</w:t>
      </w:r>
      <w:r>
        <w:rPr>
          <w:rFonts w:hint="eastAsia" w:ascii="宋体" w:hAnsi="宋体" w:eastAsia="宋体" w:cs="宋体"/>
          <w:b w:val="0"/>
          <w:bCs/>
          <w:sz w:val="21"/>
          <w:szCs w:val="21"/>
          <w:highlight w:val="none"/>
          <w:lang w:val="en-US" w:eastAsia="zh-CN"/>
        </w:rPr>
        <w:t>为准</w:t>
      </w:r>
      <w:r>
        <w:rPr>
          <w:rFonts w:hint="eastAsia" w:ascii="宋体" w:hAnsi="宋体" w:eastAsia="宋体" w:cs="宋体"/>
          <w:b w:val="0"/>
          <w:bCs/>
          <w:sz w:val="21"/>
          <w:szCs w:val="21"/>
          <w:highlight w:val="none"/>
        </w:rPr>
        <w:t>)，逾期需方有权拒收</w:t>
      </w:r>
      <w:r>
        <w:rPr>
          <w:rFonts w:hint="eastAsia" w:ascii="宋体" w:hAnsi="宋体" w:eastAsia="宋体" w:cs="宋体"/>
          <w:b w:val="0"/>
          <w:bCs/>
          <w:sz w:val="21"/>
          <w:szCs w:val="21"/>
          <w:highlight w:val="none"/>
          <w:lang w:eastAsia="zh-CN"/>
        </w:rPr>
        <w:t>。</w:t>
      </w:r>
    </w:p>
    <w:p>
      <w:pPr>
        <w:numPr>
          <w:ilvl w:val="0"/>
          <w:numId w:val="0"/>
        </w:numPr>
        <w:ind w:firstLine="420" w:firstLineChars="200"/>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（二）交货地点：</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公司</w:t>
      </w:r>
      <w:r>
        <w:rPr>
          <w:rFonts w:hint="eastAsia" w:ascii="宋体" w:hAnsi="宋体" w:eastAsia="宋体" w:cs="宋体"/>
          <w:b w:val="0"/>
          <w:bCs/>
          <w:sz w:val="21"/>
          <w:szCs w:val="21"/>
          <w:highlight w:val="none"/>
          <w:u w:val="single"/>
          <w:lang w:val="en-US" w:eastAsia="zh-CN"/>
        </w:rPr>
        <w:t>码头或煤场</w:t>
      </w:r>
      <w:r>
        <w:rPr>
          <w:rFonts w:hint="eastAsia" w:ascii="宋体" w:hAnsi="宋体" w:eastAsia="宋体" w:cs="宋体"/>
          <w:b w:val="0"/>
          <w:bCs/>
          <w:sz w:val="21"/>
          <w:szCs w:val="21"/>
          <w:highlight w:val="none"/>
          <w:lang w:val="en-US" w:eastAsia="zh-CN"/>
        </w:rPr>
        <w:t>。</w:t>
      </w:r>
    </w:p>
    <w:p>
      <w:pPr>
        <w:numPr>
          <w:ilvl w:val="0"/>
          <w:numId w:val="0"/>
        </w:numPr>
        <w:ind w:firstLine="420" w:firstLineChars="200"/>
        <w:rPr>
          <w:rFonts w:hint="default" w:ascii="宋体" w:hAnsi="宋体" w:eastAsia="宋体" w:cs="宋体"/>
          <w:b w:val="0"/>
          <w:bCs/>
          <w:sz w:val="21"/>
          <w:szCs w:val="21"/>
          <w:lang w:val="en-US" w:eastAsia="zh-CN"/>
        </w:rPr>
      </w:pPr>
      <w:r>
        <w:rPr>
          <w:rFonts w:hint="eastAsia" w:ascii="Times New Roman" w:hAnsi="Times New Roman" w:cs="Times New Roman"/>
          <w:szCs w:val="21"/>
          <w:highlight w:val="none"/>
          <w:lang w:val="en-US" w:eastAsia="zh-CN"/>
        </w:rPr>
        <w:t>（三） 供方在煤炭发运前应通知</w:t>
      </w:r>
      <w:r>
        <w:rPr>
          <w:rFonts w:hint="eastAsia" w:ascii="宋体" w:hAnsi="宋体" w:eastAsia="宋体" w:cs="宋体"/>
          <w:b w:val="0"/>
          <w:bCs/>
          <w:sz w:val="21"/>
          <w:szCs w:val="21"/>
          <w:highlight w:val="none"/>
        </w:rPr>
        <w:t>需方，需方有权根据需要派化验员去供方的煤炭储存</w:t>
      </w:r>
      <w:r>
        <w:rPr>
          <w:rFonts w:hint="eastAsia" w:ascii="宋体" w:hAnsi="宋体" w:eastAsia="宋体" w:cs="宋体"/>
          <w:b w:val="0"/>
          <w:bCs/>
          <w:sz w:val="21"/>
          <w:szCs w:val="21"/>
        </w:rPr>
        <w:t>处，对供方准备发往需方的煤炭进行取样化验，化验结果表明煤炭品质</w:t>
      </w:r>
      <w:r>
        <w:rPr>
          <w:rFonts w:hint="eastAsia" w:ascii="宋体" w:hAnsi="宋体" w:eastAsia="宋体" w:cs="宋体"/>
          <w:b w:val="0"/>
          <w:bCs/>
          <w:sz w:val="21"/>
          <w:szCs w:val="21"/>
          <w:lang w:val="en-US" w:eastAsia="zh-CN"/>
        </w:rPr>
        <w:t>不</w:t>
      </w:r>
      <w:r>
        <w:rPr>
          <w:rFonts w:hint="eastAsia" w:ascii="宋体" w:hAnsi="宋体" w:eastAsia="宋体" w:cs="宋体"/>
          <w:b w:val="0"/>
          <w:bCs/>
          <w:sz w:val="21"/>
          <w:szCs w:val="21"/>
        </w:rPr>
        <w:t>符合需方要求，</w:t>
      </w:r>
      <w:r>
        <w:rPr>
          <w:rFonts w:hint="eastAsia" w:ascii="宋体" w:hAnsi="宋体" w:eastAsia="宋体" w:cs="宋体"/>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宋体" w:hAnsi="宋体" w:eastAsia="宋体" w:cs="宋体"/>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1、煤炭数量验收</w:t>
      </w:r>
      <w:r>
        <w:rPr>
          <w:rFonts w:hint="eastAsia" w:ascii="宋体" w:hAnsi="宋体" w:eastAsia="宋体" w:cs="宋体"/>
          <w:b w:val="0"/>
          <w:bCs/>
          <w:sz w:val="21"/>
          <w:szCs w:val="21"/>
        </w:rPr>
        <w:t>按</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rPr>
        <w:t>计量衡器</w:t>
      </w:r>
      <w:r>
        <w:rPr>
          <w:rFonts w:hint="eastAsia" w:ascii="宋体" w:hAnsi="宋体" w:eastAsia="宋体" w:cs="宋体"/>
          <w:b w:val="0"/>
          <w:bCs/>
          <w:sz w:val="21"/>
          <w:szCs w:val="21"/>
          <w:lang w:val="en-US" w:eastAsia="zh-CN"/>
        </w:rPr>
        <w:t>数据为准</w:t>
      </w:r>
      <w:r>
        <w:rPr>
          <w:rFonts w:hint="eastAsia" w:ascii="宋体" w:hAnsi="宋体" w:eastAsia="宋体" w:cs="宋体"/>
          <w:b w:val="0"/>
          <w:bCs/>
          <w:sz w:val="21"/>
          <w:szCs w:val="21"/>
        </w:rPr>
        <w:t>，供需双方派员监磅，称重码单应由双方监磅人员共同签字认可</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需方根据需要</w:t>
      </w:r>
      <w:r>
        <w:rPr>
          <w:rFonts w:hint="eastAsia" w:ascii="宋体" w:hAnsi="宋体" w:eastAsia="宋体" w:cs="宋体"/>
          <w:b w:val="0"/>
          <w:bCs/>
          <w:sz w:val="21"/>
          <w:szCs w:val="21"/>
          <w:lang w:val="en-US" w:eastAsia="zh-CN"/>
        </w:rPr>
        <w:t>有权</w:t>
      </w:r>
      <w:r>
        <w:rPr>
          <w:rFonts w:hint="eastAsia" w:ascii="宋体" w:hAnsi="宋体" w:eastAsia="宋体" w:cs="宋体"/>
          <w:b w:val="0"/>
          <w:bCs/>
          <w:sz w:val="21"/>
          <w:szCs w:val="21"/>
        </w:rPr>
        <w:t>对来煤</w:t>
      </w:r>
      <w:r>
        <w:rPr>
          <w:rFonts w:hint="eastAsia" w:ascii="宋体" w:hAnsi="宋体" w:eastAsia="宋体" w:cs="宋体"/>
          <w:b w:val="0"/>
          <w:bCs/>
          <w:sz w:val="21"/>
          <w:szCs w:val="21"/>
          <w:lang w:val="en-US" w:eastAsia="zh-CN"/>
        </w:rPr>
        <w:t>中</w:t>
      </w:r>
      <w:r>
        <w:rPr>
          <w:rFonts w:hint="eastAsia" w:ascii="宋体" w:hAnsi="宋体" w:eastAsia="宋体" w:cs="宋体"/>
          <w:b w:val="0"/>
          <w:bCs/>
          <w:sz w:val="21"/>
          <w:szCs w:val="21"/>
        </w:rPr>
        <w:t>石块、煤矸石含有率进行抽查</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并根据抽查结果重新计算该批煤炭重量</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供方对需方皮带秤、地磅等计量衡器准确性有争议，要求校验，供方必须以书面形式提出争议的问题</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校验工作由</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来进行校验。如果</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校验结果表明公司计量衡器的</w:t>
      </w:r>
      <w:r>
        <w:rPr>
          <w:rFonts w:hint="eastAsia" w:ascii="宋体" w:hAnsi="宋体" w:eastAsia="宋体" w:cs="宋体"/>
          <w:b w:val="0"/>
          <w:bCs/>
          <w:sz w:val="21"/>
          <w:szCs w:val="21"/>
          <w:lang w:val="en-US" w:eastAsia="zh-CN"/>
        </w:rPr>
        <w:t>偏差</w:t>
      </w:r>
      <w:r>
        <w:rPr>
          <w:rFonts w:hint="eastAsia" w:ascii="宋体" w:hAnsi="宋体" w:eastAsia="宋体" w:cs="宋体"/>
          <w:b w:val="0"/>
          <w:bCs/>
          <w:sz w:val="21"/>
          <w:szCs w:val="21"/>
        </w:rPr>
        <w:t>在国家允许范围</w:t>
      </w:r>
      <w:r>
        <w:rPr>
          <w:rFonts w:hint="eastAsia" w:ascii="宋体" w:hAnsi="宋体" w:eastAsia="宋体" w:cs="宋体"/>
          <w:b w:val="0"/>
          <w:bCs/>
          <w:sz w:val="21"/>
          <w:szCs w:val="21"/>
          <w:lang w:val="en-US" w:eastAsia="zh-CN"/>
        </w:rPr>
        <w:t>内</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汽车衡允许偏差±3‰</w:t>
      </w:r>
      <w:r>
        <w:rPr>
          <w:rFonts w:hint="eastAsia" w:ascii="宋体" w:hAnsi="宋体" w:eastAsia="宋体" w:cs="宋体"/>
          <w:b w:val="0"/>
          <w:bCs/>
          <w:sz w:val="21"/>
          <w:szCs w:val="21"/>
        </w:rPr>
        <w:t>，</w:t>
      </w:r>
      <w:r>
        <w:rPr>
          <w:rFonts w:hint="eastAsia" w:ascii="宋体" w:hAnsi="宋体" w:eastAsia="宋体" w:cs="宋体"/>
          <w:b w:val="0"/>
          <w:bCs/>
          <w:sz w:val="21"/>
          <w:szCs w:val="21"/>
          <w:lang w:val="en-US" w:eastAsia="zh-CN"/>
        </w:rPr>
        <w:t>皮带秤允许偏差±5‰），则供方承担检测费用；否则需方承担检测费用，</w:t>
      </w:r>
      <w:r>
        <w:rPr>
          <w:rFonts w:hint="eastAsia" w:ascii="宋体" w:hAnsi="宋体" w:eastAsia="宋体" w:cs="宋体"/>
          <w:b w:val="0"/>
          <w:bCs/>
          <w:sz w:val="21"/>
          <w:szCs w:val="21"/>
        </w:rPr>
        <w:t>且</w:t>
      </w:r>
      <w:r>
        <w:rPr>
          <w:rFonts w:hint="eastAsia" w:ascii="宋体" w:hAnsi="宋体" w:eastAsia="宋体" w:cs="宋体"/>
          <w:b w:val="0"/>
          <w:bCs/>
          <w:sz w:val="21"/>
          <w:szCs w:val="21"/>
          <w:lang w:val="en-US" w:eastAsia="zh-CN"/>
        </w:rPr>
        <w:t>偏</w:t>
      </w:r>
      <w:r>
        <w:rPr>
          <w:rFonts w:hint="eastAsia" w:ascii="宋体" w:hAnsi="宋体" w:eastAsia="宋体" w:cs="宋体"/>
          <w:b w:val="0"/>
          <w:bCs/>
          <w:sz w:val="21"/>
          <w:szCs w:val="21"/>
        </w:rPr>
        <w:t>差值部分进行补扣吨位。</w:t>
      </w:r>
    </w:p>
    <w:p>
      <w:pPr>
        <w:ind w:firstLine="420" w:firstLineChars="200"/>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4、供方</w:t>
      </w:r>
      <w:r>
        <w:rPr>
          <w:rFonts w:hint="eastAsia" w:ascii="宋体" w:hAnsi="宋体" w:eastAsia="宋体" w:cs="宋体"/>
          <w:b w:val="0"/>
          <w:bCs/>
          <w:color w:val="auto"/>
          <w:sz w:val="21"/>
          <w:szCs w:val="21"/>
        </w:rPr>
        <w:t>对需方皮带秤准确性有</w:t>
      </w:r>
      <w:r>
        <w:rPr>
          <w:rFonts w:hint="eastAsia" w:ascii="宋体" w:hAnsi="宋体" w:eastAsia="宋体" w:cs="宋体"/>
          <w:b w:val="0"/>
          <w:bCs/>
          <w:color w:val="auto"/>
          <w:sz w:val="21"/>
          <w:szCs w:val="21"/>
          <w:lang w:val="en-US" w:eastAsia="zh-CN"/>
        </w:rPr>
        <w:t>疑义</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要求抽船过汽车衡，</w:t>
      </w:r>
      <w:r>
        <w:rPr>
          <w:rFonts w:hint="eastAsia" w:ascii="宋体" w:hAnsi="宋体" w:eastAsia="宋体" w:cs="宋体"/>
          <w:b w:val="0"/>
          <w:bCs/>
          <w:color w:val="auto"/>
          <w:sz w:val="21"/>
          <w:szCs w:val="21"/>
        </w:rPr>
        <w:t>供方必须以书面形式提出</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r>
        <w:rPr>
          <w:rFonts w:hint="eastAsia" w:ascii="宋体" w:hAnsi="宋体" w:eastAsia="宋体" w:cs="宋体"/>
          <w:b w:val="0"/>
          <w:bCs/>
          <w:sz w:val="21"/>
          <w:szCs w:val="21"/>
        </w:rPr>
        <w:t>结算数量为</w:t>
      </w:r>
      <w:r>
        <w:rPr>
          <w:rFonts w:hint="eastAsia" w:ascii="宋体" w:hAnsi="宋体" w:eastAsia="宋体" w:cs="宋体"/>
          <w:b w:val="0"/>
          <w:bCs/>
          <w:sz w:val="21"/>
          <w:szCs w:val="21"/>
          <w:lang w:val="en-US" w:eastAsia="zh-CN"/>
        </w:rPr>
        <w:t>根据</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上述</w:t>
      </w:r>
      <w:r>
        <w:rPr>
          <w:rFonts w:hint="eastAsia" w:ascii="宋体" w:hAnsi="宋体" w:eastAsia="宋体" w:cs="宋体"/>
          <w:b w:val="0"/>
          <w:bCs/>
          <w:sz w:val="21"/>
          <w:szCs w:val="21"/>
        </w:rPr>
        <w:t>条</w:t>
      </w:r>
      <w:r>
        <w:rPr>
          <w:rFonts w:hint="eastAsia" w:ascii="宋体" w:hAnsi="宋体" w:eastAsia="宋体" w:cs="宋体"/>
          <w:b w:val="0"/>
          <w:bCs/>
          <w:sz w:val="21"/>
          <w:szCs w:val="21"/>
          <w:lang w:val="en-US" w:eastAsia="zh-CN"/>
        </w:rPr>
        <w:t>款所述</w:t>
      </w:r>
      <w:r>
        <w:rPr>
          <w:rFonts w:hint="eastAsia" w:ascii="宋体" w:hAnsi="宋体" w:eastAsia="宋体" w:cs="宋体"/>
          <w:b w:val="0"/>
          <w:bCs/>
          <w:sz w:val="21"/>
          <w:szCs w:val="21"/>
        </w:rPr>
        <w:t>供需双方</w:t>
      </w:r>
      <w:r>
        <w:rPr>
          <w:rFonts w:hint="eastAsia" w:ascii="宋体" w:hAnsi="宋体" w:eastAsia="宋体" w:cs="宋体"/>
          <w:b w:val="0"/>
          <w:bCs/>
          <w:sz w:val="21"/>
          <w:szCs w:val="21"/>
          <w:lang w:val="en-US" w:eastAsia="zh-CN"/>
        </w:rPr>
        <w:t>确定</w:t>
      </w:r>
      <w:r>
        <w:rPr>
          <w:rFonts w:hint="eastAsia" w:ascii="宋体" w:hAnsi="宋体" w:eastAsia="宋体" w:cs="宋体"/>
          <w:b w:val="0"/>
          <w:bCs/>
          <w:sz w:val="21"/>
          <w:szCs w:val="21"/>
        </w:rPr>
        <w:t>认可的数量。</w:t>
      </w:r>
    </w:p>
    <w:p>
      <w:pPr>
        <w:numPr>
          <w:ilvl w:val="0"/>
          <w:numId w:val="0"/>
        </w:numPr>
        <w:ind w:left="420" w:leftChars="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（二）质量的验收</w:t>
      </w:r>
    </w:p>
    <w:p>
      <w:pPr>
        <w:ind w:firstLine="420" w:firstLineChars="200"/>
        <w:jc w:val="both"/>
        <w:rPr>
          <w:rFonts w:hint="default" w:eastAsia="宋体"/>
          <w:szCs w:val="20"/>
          <w:lang w:val="en-US" w:eastAsia="zh-CN"/>
        </w:rPr>
      </w:pPr>
      <w:r>
        <w:rPr>
          <w:rFonts w:hint="eastAsia" w:ascii="宋体" w:hAnsi="宋体" w:eastAsia="宋体" w:cs="宋体"/>
          <w:b w:val="0"/>
          <w:bCs/>
          <w:sz w:val="21"/>
          <w:szCs w:val="21"/>
          <w:lang w:val="en-US" w:eastAsia="zh-CN"/>
        </w:rPr>
        <w:t>1、质量指标以需方（或双方确定的第三方）化验结果为准</w:t>
      </w:r>
      <w:r>
        <w:rPr>
          <w:rFonts w:hint="eastAsia" w:ascii="宋体" w:hAnsi="宋体" w:cs="宋体"/>
          <w:b w:val="0"/>
          <w:bCs/>
          <w:sz w:val="21"/>
          <w:szCs w:val="21"/>
          <w:highlight w:val="yellow"/>
          <w:lang w:val="en-US" w:eastAsia="zh-CN"/>
        </w:rPr>
        <w:t>（除收到基全水分以需方化验结果为准</w:t>
      </w:r>
      <w:r>
        <w:rPr>
          <w:rFonts w:hint="eastAsia" w:ascii="宋体" w:hAnsi="宋体" w:cs="宋体"/>
          <w:b w:val="0"/>
          <w:bCs/>
          <w:sz w:val="21"/>
          <w:szCs w:val="21"/>
          <w:lang w:val="en-US" w:eastAsia="zh-CN"/>
        </w:rPr>
        <w:t>）</w:t>
      </w:r>
      <w:r>
        <w:rPr>
          <w:rFonts w:hint="eastAsia" w:ascii="宋体" w:hAnsi="宋体" w:eastAsia="宋体" w:cs="宋体"/>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 xml:space="preserve"> 50大卡</w:t>
      </w:r>
      <w:r>
        <w:rPr>
          <w:rFonts w:hint="eastAsia"/>
          <w:szCs w:val="20"/>
          <w:u w:val="single"/>
          <w:lang w:val="en-US" w:eastAsia="zh-CN"/>
        </w:rPr>
        <w:t xml:space="preserve">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highlight w:val="yellow"/>
          <w:u w:val="single"/>
          <w:lang w:val="en-US" w:eastAsia="zh-CN"/>
        </w:rPr>
        <w:t xml:space="preserve">50大卡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如果供</w:t>
      </w:r>
      <w:r>
        <w:rPr>
          <w:rFonts w:hint="eastAsia" w:ascii="宋体" w:hAnsi="宋体" w:eastAsia="宋体" w:cs="宋体"/>
          <w:b w:val="0"/>
          <w:bCs/>
          <w:sz w:val="21"/>
          <w:szCs w:val="21"/>
          <w:lang w:val="en-US" w:eastAsia="zh-CN"/>
        </w:rPr>
        <w:t>方（或任一方）</w:t>
      </w:r>
      <w:r>
        <w:rPr>
          <w:rFonts w:hint="eastAsia" w:ascii="宋体" w:hAnsi="宋体" w:eastAsia="宋体" w:cs="宋体"/>
          <w:b w:val="0"/>
          <w:bCs/>
          <w:sz w:val="21"/>
          <w:szCs w:val="21"/>
          <w:lang w:eastAsia="zh-CN"/>
        </w:rPr>
        <w:t>在得到需方（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）化验结果通知的</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日内提出除发热量及全水以外的其它指标的化验争议，按照</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eastAsia="zh-CN"/>
        </w:rPr>
        <w:t>出具的质量检验报告办理结算单。如果需方（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）化验的指标与</w:t>
      </w:r>
      <w:r>
        <w:rPr>
          <w:rFonts w:hint="eastAsia" w:ascii="宋体" w:hAnsi="宋体" w:eastAsia="宋体" w:cs="宋体"/>
          <w:b w:val="0"/>
          <w:bCs/>
          <w:sz w:val="21"/>
          <w:szCs w:val="21"/>
          <w:lang w:val="en-US" w:eastAsia="zh-CN"/>
        </w:rPr>
        <w:t>该</w:t>
      </w:r>
      <w:r>
        <w:rPr>
          <w:rFonts w:hint="eastAsia" w:ascii="宋体" w:hAnsi="宋体" w:eastAsia="宋体" w:cs="宋体"/>
          <w:b w:val="0"/>
          <w:bCs/>
          <w:color w:val="auto"/>
          <w:sz w:val="21"/>
          <w:szCs w:val="21"/>
          <w:lang w:eastAsia="zh-CN"/>
        </w:rPr>
        <w:t>机构</w:t>
      </w:r>
      <w:r>
        <w:rPr>
          <w:rFonts w:hint="eastAsia" w:ascii="宋体" w:hAnsi="宋体" w:eastAsia="宋体" w:cs="宋体"/>
          <w:b w:val="0"/>
          <w:bCs/>
          <w:sz w:val="21"/>
          <w:szCs w:val="21"/>
          <w:lang w:eastAsia="zh-CN"/>
        </w:rPr>
        <w:t>所出具的报告指标</w:t>
      </w:r>
      <w:r>
        <w:rPr>
          <w:rFonts w:hint="eastAsia" w:ascii="宋体" w:hAnsi="宋体" w:eastAsia="宋体" w:cs="宋体"/>
          <w:b w:val="0"/>
          <w:bCs/>
          <w:sz w:val="21"/>
          <w:szCs w:val="21"/>
          <w:lang w:val="en-US" w:eastAsia="zh-CN"/>
        </w:rPr>
        <w:t>在国家标准允许偏差范围内</w:t>
      </w:r>
      <w:r>
        <w:rPr>
          <w:rFonts w:hint="eastAsia" w:ascii="宋体" w:hAnsi="宋体" w:eastAsia="宋体" w:cs="宋体"/>
          <w:b w:val="0"/>
          <w:bCs/>
          <w:sz w:val="21"/>
          <w:szCs w:val="21"/>
          <w:lang w:eastAsia="zh-CN"/>
        </w:rPr>
        <w:t>，费用由供</w:t>
      </w:r>
      <w:r>
        <w:rPr>
          <w:rFonts w:hint="eastAsia" w:ascii="宋体" w:hAnsi="宋体" w:eastAsia="宋体" w:cs="宋体"/>
          <w:b w:val="0"/>
          <w:bCs/>
          <w:sz w:val="21"/>
          <w:szCs w:val="21"/>
          <w:lang w:val="en-US" w:eastAsia="zh-CN"/>
        </w:rPr>
        <w:t>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或提出方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承担。</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在供方的</w:t>
      </w:r>
      <w:r>
        <w:rPr>
          <w:rFonts w:hint="eastAsia" w:ascii="宋体" w:hAnsi="宋体" w:eastAsia="宋体" w:cs="宋体"/>
          <w:b w:val="0"/>
          <w:bCs/>
          <w:sz w:val="21"/>
          <w:szCs w:val="21"/>
          <w:lang w:val="en-US" w:eastAsia="zh-CN"/>
        </w:rPr>
        <w:t>货运</w:t>
      </w:r>
      <w:r>
        <w:rPr>
          <w:rFonts w:hint="eastAsia" w:ascii="宋体" w:hAnsi="宋体" w:eastAsia="宋体" w:cs="宋体"/>
          <w:b w:val="0"/>
          <w:bCs/>
          <w:sz w:val="21"/>
          <w:szCs w:val="21"/>
        </w:rPr>
        <w:t>工具到需方后，供方应提供相应的煤质化验报告，需方</w:t>
      </w:r>
      <w:r>
        <w:rPr>
          <w:rFonts w:hint="eastAsia" w:ascii="宋体" w:hAnsi="宋体" w:eastAsia="宋体" w:cs="宋体"/>
          <w:b w:val="0"/>
          <w:bCs/>
          <w:sz w:val="21"/>
          <w:szCs w:val="21"/>
          <w:lang w:val="en-US" w:eastAsia="zh-CN"/>
        </w:rPr>
        <w:t>根据需要</w:t>
      </w:r>
      <w:r>
        <w:rPr>
          <w:rFonts w:hint="eastAsia" w:ascii="宋体" w:hAnsi="宋体" w:eastAsia="宋体" w:cs="宋体"/>
          <w:b w:val="0"/>
          <w:bCs/>
          <w:sz w:val="21"/>
          <w:szCs w:val="21"/>
        </w:rPr>
        <w:t>进行</w:t>
      </w:r>
      <w:r>
        <w:rPr>
          <w:rFonts w:hint="eastAsia" w:ascii="宋体" w:hAnsi="宋体" w:eastAsia="宋体" w:cs="宋体"/>
          <w:b w:val="0"/>
          <w:bCs/>
          <w:sz w:val="21"/>
          <w:szCs w:val="21"/>
          <w:lang w:val="en-US" w:eastAsia="zh-CN"/>
        </w:rPr>
        <w:t>表层取</w:t>
      </w:r>
      <w:r>
        <w:rPr>
          <w:rFonts w:hint="eastAsia" w:ascii="宋体" w:hAnsi="宋体" w:eastAsia="宋体" w:cs="宋体"/>
          <w:b w:val="0"/>
          <w:bCs/>
          <w:sz w:val="21"/>
          <w:szCs w:val="21"/>
        </w:rPr>
        <w:t>样，如果表层样化验结果无法达到合同质量标准，需方有权拒收。</w:t>
      </w:r>
      <w:r>
        <w:rPr>
          <w:rFonts w:hint="eastAsia" w:ascii="宋体" w:hAnsi="宋体" w:eastAsia="宋体" w:cs="宋体"/>
          <w:b w:val="0"/>
          <w:bCs/>
          <w:sz w:val="21"/>
          <w:szCs w:val="21"/>
          <w:lang w:val="en-US" w:eastAsia="zh-CN"/>
        </w:rPr>
        <w:t>需方收货不代表对该批次所有煤炭质量的认可。</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在卸煤过程中，如发现供方有违规嫌疑，对有违规嫌疑的运输工具，需方有权增加取样次数</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需方须提前2小时通知供方取样的时间、地点，在需方</w:t>
      </w:r>
      <w:r>
        <w:rPr>
          <w:rFonts w:hint="eastAsia" w:ascii="宋体" w:hAnsi="宋体" w:eastAsia="宋体" w:cs="宋体"/>
          <w:b w:val="0"/>
          <w:bCs/>
          <w:kern w:val="0"/>
          <w:sz w:val="21"/>
          <w:szCs w:val="21"/>
        </w:rPr>
        <w:t>已经将</w:t>
      </w:r>
      <w:r>
        <w:rPr>
          <w:rFonts w:hint="eastAsia" w:ascii="宋体" w:hAnsi="宋体" w:eastAsia="宋体" w:cs="宋体"/>
          <w:b w:val="0"/>
          <w:bCs/>
          <w:sz w:val="21"/>
          <w:szCs w:val="21"/>
        </w:rPr>
        <w:t>取样的时间、地点</w:t>
      </w:r>
      <w:r>
        <w:rPr>
          <w:rFonts w:hint="eastAsia" w:ascii="宋体" w:hAnsi="宋体" w:eastAsia="宋体" w:cs="宋体"/>
          <w:b w:val="0"/>
          <w:bCs/>
          <w:kern w:val="0"/>
          <w:sz w:val="21"/>
          <w:szCs w:val="21"/>
        </w:rPr>
        <w:t>告之</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而</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没有能够按时到达</w:t>
      </w:r>
      <w:r>
        <w:rPr>
          <w:rFonts w:hint="eastAsia" w:ascii="宋体" w:hAnsi="宋体" w:eastAsia="宋体" w:cs="宋体"/>
          <w:b w:val="0"/>
          <w:bCs/>
          <w:sz w:val="21"/>
          <w:szCs w:val="21"/>
        </w:rPr>
        <w:t>取样现场，不管供方何种原因都视同供方认可需方这次取样的相关操作及化验结果，此化验结果将作为此批</w:t>
      </w:r>
      <w:r>
        <w:rPr>
          <w:rFonts w:hint="eastAsia" w:ascii="宋体" w:hAnsi="宋体" w:eastAsia="宋体" w:cs="宋体"/>
          <w:b w:val="0"/>
          <w:bCs/>
          <w:sz w:val="21"/>
          <w:szCs w:val="21"/>
          <w:lang w:val="en-US" w:eastAsia="zh-CN"/>
        </w:rPr>
        <w:t>次</w:t>
      </w:r>
      <w:r>
        <w:rPr>
          <w:rFonts w:hint="eastAsia" w:ascii="宋体" w:hAnsi="宋体" w:eastAsia="宋体" w:cs="宋体"/>
          <w:b w:val="0"/>
          <w:bCs/>
          <w:sz w:val="21"/>
          <w:szCs w:val="21"/>
        </w:rPr>
        <w:t>煤的结算</w:t>
      </w:r>
      <w:r>
        <w:rPr>
          <w:rFonts w:hint="eastAsia" w:ascii="宋体" w:hAnsi="宋体" w:eastAsia="宋体" w:cs="宋体"/>
          <w:b w:val="0"/>
          <w:bCs/>
          <w:sz w:val="21"/>
          <w:szCs w:val="21"/>
          <w:lang w:val="en-US" w:eastAsia="zh-CN"/>
        </w:rPr>
        <w:t>依据</w:t>
      </w:r>
      <w:r>
        <w:rPr>
          <w:rFonts w:hint="eastAsia" w:ascii="宋体" w:hAnsi="宋体" w:eastAsia="宋体" w:cs="宋体"/>
          <w:b w:val="0"/>
          <w:bCs/>
          <w:sz w:val="21"/>
          <w:szCs w:val="21"/>
        </w:rPr>
        <w:t>。</w:t>
      </w:r>
    </w:p>
    <w:p>
      <w:pPr>
        <w:widowControl/>
        <w:ind w:firstLine="420" w:firstLineChars="200"/>
        <w:jc w:val="left"/>
        <w:rPr>
          <w:rFonts w:hint="eastAsia" w:ascii="宋体" w:hAnsi="宋体" w:eastAsia="宋体" w:cs="宋体"/>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宋体" w:hAnsi="宋体" w:eastAsia="宋体" w:cs="宋体"/>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宋体" w:hAnsi="宋体" w:eastAsia="宋体" w:cs="宋体"/>
          <w:b w:val="0"/>
          <w:bCs/>
          <w:sz w:val="21"/>
          <w:szCs w:val="21"/>
          <w:lang w:eastAsia="zh-CN"/>
        </w:rPr>
      </w:pPr>
      <w:r>
        <w:rPr>
          <w:rFonts w:hint="eastAsia"/>
          <w:szCs w:val="21"/>
          <w:lang w:val="en-US" w:eastAsia="zh-CN"/>
        </w:rPr>
        <w:t>（一）</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履约</w:t>
      </w:r>
      <w:r>
        <w:rPr>
          <w:rFonts w:hint="eastAsia" w:ascii="宋体" w:hAnsi="宋体" w:eastAsia="宋体" w:cs="宋体"/>
          <w:b w:val="0"/>
          <w:bCs/>
          <w:sz w:val="21"/>
          <w:szCs w:val="21"/>
        </w:rPr>
        <w:t>保证金：在签订本合</w:t>
      </w:r>
      <w:r>
        <w:rPr>
          <w:rFonts w:hint="eastAsia" w:ascii="宋体" w:hAnsi="宋体" w:eastAsia="宋体" w:cs="宋体"/>
          <w:b w:val="0"/>
          <w:bCs/>
          <w:sz w:val="21"/>
          <w:szCs w:val="21"/>
          <w:lang w:val="en-US" w:eastAsia="zh-CN"/>
        </w:rPr>
        <w:t>同前</w:t>
      </w:r>
      <w:r>
        <w:rPr>
          <w:rFonts w:hint="eastAsia" w:ascii="宋体" w:hAnsi="宋体" w:eastAsia="宋体" w:cs="宋体"/>
          <w:b w:val="0"/>
          <w:bCs/>
          <w:sz w:val="21"/>
          <w:szCs w:val="21"/>
        </w:rPr>
        <w:t>供方付给需方履约保证金人民币</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万元</w:t>
      </w:r>
      <w:r>
        <w:rPr>
          <w:rFonts w:hint="eastAsia" w:ascii="宋体" w:hAnsi="宋体" w:eastAsia="宋体" w:cs="宋体"/>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关于质量：供方所供煤炭质量如经检验达</w:t>
      </w:r>
      <w:r>
        <w:rPr>
          <w:rFonts w:hint="eastAsia" w:ascii="宋体" w:hAnsi="宋体" w:eastAsia="宋体" w:cs="宋体"/>
          <w:b w:val="0"/>
          <w:bCs/>
          <w:sz w:val="21"/>
          <w:szCs w:val="21"/>
          <w:lang w:val="en-US" w:eastAsia="zh-CN"/>
        </w:rPr>
        <w:t>到拒收条款时</w:t>
      </w:r>
      <w:r>
        <w:rPr>
          <w:rFonts w:hint="eastAsia" w:ascii="宋体" w:hAnsi="宋体" w:eastAsia="宋体" w:cs="宋体"/>
          <w:b w:val="0"/>
          <w:bCs/>
          <w:sz w:val="21"/>
          <w:szCs w:val="21"/>
        </w:rPr>
        <w:t>,需方有权拒收该批煤炭。若供方所供的不合格煤炭</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达到拒收条款</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数量已经达到本合同数量的20％，则需方有权终止合同，经书面、邮件或传真通知供方即生效</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宋体" w:hAnsi="宋体" w:eastAsia="宋体" w:cs="宋体"/>
          <w:b w:val="0"/>
          <w:bCs/>
          <w:sz w:val="21"/>
          <w:szCs w:val="21"/>
          <w:lang w:val="en-US"/>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供货时间</w:t>
      </w:r>
      <w:r>
        <w:rPr>
          <w:rFonts w:hint="eastAsia" w:ascii="宋体" w:hAnsi="宋体" w:eastAsia="宋体" w:cs="宋体"/>
          <w:b w:val="0"/>
          <w:bCs/>
          <w:sz w:val="21"/>
          <w:szCs w:val="21"/>
        </w:rPr>
        <w:t>：供方</w:t>
      </w:r>
      <w:r>
        <w:rPr>
          <w:rFonts w:hint="eastAsia" w:ascii="宋体" w:hAnsi="宋体" w:eastAsia="宋体" w:cs="宋体"/>
          <w:b w:val="0"/>
          <w:bCs/>
          <w:sz w:val="21"/>
          <w:szCs w:val="21"/>
          <w:lang w:val="en-US" w:eastAsia="zh-CN"/>
        </w:rPr>
        <w:t>每批次煤炭供货时间</w:t>
      </w:r>
      <w:r>
        <w:rPr>
          <w:rFonts w:hint="eastAsia" w:ascii="宋体" w:hAnsi="宋体" w:eastAsia="宋体" w:cs="宋体"/>
          <w:b w:val="0"/>
          <w:bCs/>
          <w:sz w:val="21"/>
          <w:szCs w:val="21"/>
        </w:rPr>
        <w:t>超过需方指定交货时间十天以</w:t>
      </w:r>
      <w:r>
        <w:rPr>
          <w:rFonts w:hint="eastAsia" w:ascii="宋体" w:hAnsi="宋体" w:eastAsia="宋体" w:cs="宋体"/>
          <w:b w:val="0"/>
          <w:bCs/>
          <w:sz w:val="21"/>
          <w:szCs w:val="21"/>
          <w:lang w:val="en-US" w:eastAsia="zh-CN"/>
        </w:rPr>
        <w:t>上</w:t>
      </w:r>
      <w:r>
        <w:rPr>
          <w:rFonts w:hint="eastAsia" w:ascii="宋体" w:hAnsi="宋体" w:eastAsia="宋体" w:cs="宋体"/>
          <w:b w:val="0"/>
          <w:bCs/>
          <w:sz w:val="21"/>
          <w:szCs w:val="21"/>
        </w:rPr>
        <w:t>则</w:t>
      </w:r>
      <w:r>
        <w:rPr>
          <w:rFonts w:hint="eastAsia" w:ascii="宋体" w:hAnsi="宋体" w:eastAsia="宋体" w:cs="宋体"/>
          <w:b w:val="0"/>
          <w:bCs/>
          <w:sz w:val="21"/>
          <w:szCs w:val="21"/>
          <w:lang w:val="en-US" w:eastAsia="zh-CN"/>
        </w:rPr>
        <w:t>定</w:t>
      </w:r>
      <w:r>
        <w:rPr>
          <w:rFonts w:hint="eastAsia" w:ascii="宋体" w:hAnsi="宋体" w:eastAsia="宋体" w:cs="宋体"/>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宋体" w:hAnsi="宋体" w:eastAsia="宋体" w:cs="宋体"/>
          <w:b w:val="0"/>
          <w:bCs/>
          <w:sz w:val="21"/>
          <w:szCs w:val="21"/>
        </w:rPr>
      </w:pPr>
    </w:p>
    <w:p>
      <w:pPr>
        <w:rPr>
          <w:rFonts w:hint="eastAsia" w:ascii="宋体" w:hAnsi="宋体" w:eastAsia="宋体" w:cs="宋体"/>
          <w:b w:val="0"/>
          <w:bCs/>
          <w:sz w:val="21"/>
          <w:szCs w:val="21"/>
        </w:rPr>
      </w:pPr>
      <w:r>
        <w:rPr>
          <w:rFonts w:hint="eastAsia" w:ascii="宋体" w:hAnsi="宋体" w:eastAsia="宋体" w:cs="宋体"/>
          <w:b/>
          <w:bCs w:val="0"/>
          <w:sz w:val="21"/>
          <w:szCs w:val="21"/>
          <w:lang w:val="en-US" w:eastAsia="zh-CN"/>
        </w:rPr>
        <w:t>十</w:t>
      </w:r>
      <w:r>
        <w:rPr>
          <w:rFonts w:hint="eastAsia" w:ascii="宋体" w:hAnsi="宋体" w:eastAsia="宋体" w:cs="宋体"/>
          <w:b/>
          <w:bCs w:val="0"/>
          <w:sz w:val="21"/>
          <w:szCs w:val="21"/>
        </w:rPr>
        <w:t xml:space="preserve">、反贪污条款   </w:t>
      </w:r>
      <w:r>
        <w:rPr>
          <w:rFonts w:hint="eastAsia" w:ascii="宋体" w:hAnsi="宋体" w:eastAsia="宋体" w:cs="宋体"/>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宋体" w:hAnsi="宋体" w:eastAsia="宋体" w:cs="宋体"/>
          <w:b w:val="0"/>
          <w:bCs/>
          <w:sz w:val="21"/>
          <w:szCs w:val="21"/>
        </w:rPr>
      </w:pPr>
    </w:p>
    <w:p>
      <w:pPr>
        <w:rPr>
          <w:rFonts w:hint="eastAsia" w:ascii="宋体" w:hAnsi="宋体" w:eastAsia="宋体" w:cs="宋体"/>
          <w:b/>
          <w:bCs w:val="0"/>
          <w:sz w:val="21"/>
          <w:szCs w:val="21"/>
        </w:rPr>
      </w:pPr>
      <w:r>
        <w:rPr>
          <w:rFonts w:hint="eastAsia" w:ascii="宋体" w:hAnsi="宋体" w:eastAsia="宋体" w:cs="宋体"/>
          <w:b/>
          <w:bCs w:val="0"/>
          <w:sz w:val="21"/>
          <w:szCs w:val="21"/>
        </w:rPr>
        <w:t>十</w:t>
      </w:r>
      <w:r>
        <w:rPr>
          <w:rFonts w:hint="eastAsia" w:ascii="宋体" w:hAnsi="宋体" w:eastAsia="宋体" w:cs="宋体"/>
          <w:b/>
          <w:bCs w:val="0"/>
          <w:sz w:val="21"/>
          <w:szCs w:val="21"/>
          <w:lang w:val="en-US" w:eastAsia="zh-CN"/>
        </w:rPr>
        <w:t>一</w:t>
      </w:r>
      <w:r>
        <w:rPr>
          <w:rFonts w:hint="eastAsia" w:ascii="宋体" w:hAnsi="宋体" w:eastAsia="宋体" w:cs="宋体"/>
          <w:b/>
          <w:bCs w:val="0"/>
          <w:sz w:val="21"/>
          <w:szCs w:val="21"/>
        </w:rPr>
        <w:t>、其它约定事项</w:t>
      </w:r>
    </w:p>
    <w:p>
      <w:pP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 xml:space="preserve">  （一</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本合同一式四份，供需双方各执两份</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经合同双方法定代表人或其委托代理人签字并加盖公章或合同章后生效；</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如</w:t>
      </w:r>
      <w:r>
        <w:rPr>
          <w:rFonts w:hint="eastAsia" w:ascii="宋体" w:hAnsi="宋体" w:eastAsia="宋体" w:cs="宋体"/>
          <w:b w:val="0"/>
          <w:bCs/>
          <w:sz w:val="21"/>
          <w:szCs w:val="21"/>
        </w:rPr>
        <w:t>另有约定</w:t>
      </w:r>
      <w:r>
        <w:rPr>
          <w:rFonts w:hint="eastAsia" w:ascii="宋体" w:hAnsi="宋体" w:eastAsia="宋体" w:cs="宋体"/>
          <w:b w:val="0"/>
          <w:bCs/>
          <w:sz w:val="21"/>
          <w:szCs w:val="21"/>
          <w:lang w:val="en-US" w:eastAsia="zh-CN"/>
        </w:rPr>
        <w:t>可作为补充协议</w:t>
      </w:r>
      <w:r>
        <w:rPr>
          <w:rFonts w:hint="eastAsia" w:ascii="宋体" w:hAnsi="宋体" w:eastAsia="宋体" w:cs="宋体"/>
          <w:b w:val="0"/>
          <w:bCs/>
          <w:sz w:val="21"/>
          <w:szCs w:val="21"/>
        </w:rPr>
        <w:t>由双方签字盖章后生效。</w:t>
      </w:r>
    </w:p>
    <w:p>
      <w:pPr>
        <w:pStyle w:val="2"/>
        <w:ind w:firstLine="210" w:firstLineChars="100"/>
        <w:rPr>
          <w:rFonts w:hint="eastAsia" w:eastAsia="宋体"/>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）本合同履行过程中如发生争议，双方应友好协商，</w:t>
      </w:r>
      <w:r>
        <w:rPr>
          <w:rFonts w:hint="eastAsia" w:ascii="宋体" w:hAnsi="宋体" w:eastAsia="宋体" w:cs="宋体"/>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hint="eastAsia"/>
          <w:szCs w:val="21"/>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ind w:firstLine="840" w:firstLineChars="300"/>
        <w:jc w:val="center"/>
        <w:rPr>
          <w:rFonts w:hint="eastAsia" w:eastAsia="宋体"/>
          <w:sz w:val="36"/>
          <w:szCs w:val="36"/>
          <w:lang w:eastAsia="zh-CN"/>
        </w:rPr>
      </w:pPr>
      <w:r>
        <w:rPr>
          <w:rFonts w:hint="eastAsia" w:ascii="楷体" w:hAnsi="楷体" w:eastAsia="楷体" w:cs="Times New Roman"/>
          <w:sz w:val="28"/>
          <w:szCs w:val="28"/>
          <w:lang w:val="en-US" w:eastAsia="zh-CN"/>
        </w:rPr>
        <w:t>附件4：</w:t>
      </w:r>
      <w:r>
        <w:rPr>
          <w:rFonts w:hint="eastAsia"/>
          <w:szCs w:val="21"/>
          <w:lang w:val="en-US" w:eastAsia="zh-CN"/>
        </w:rPr>
        <w:t xml:space="preserve"> </w:t>
      </w:r>
      <w:r>
        <w:rPr>
          <w:rFonts w:hint="eastAsia"/>
          <w:sz w:val="36"/>
          <w:szCs w:val="36"/>
        </w:rPr>
        <w:t>煤炭购销合同</w:t>
      </w:r>
      <w:r>
        <w:rPr>
          <w:rFonts w:hint="eastAsia"/>
          <w:sz w:val="36"/>
          <w:szCs w:val="36"/>
          <w:lang w:eastAsia="zh-CN"/>
        </w:rPr>
        <w:t>（</w:t>
      </w:r>
      <w:r>
        <w:rPr>
          <w:rFonts w:hint="eastAsia"/>
          <w:sz w:val="36"/>
          <w:szCs w:val="36"/>
          <w:lang w:val="en-US" w:eastAsia="zh-CN"/>
        </w:rPr>
        <w:t>蒙煤）</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val="en-US" w:eastAsia="zh-CN"/>
        </w:rPr>
        <w:t>蒙煤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314" w:leftChars="0" w:firstLine="316" w:firstLineChars="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蒙煤</w:t>
      </w:r>
    </w:p>
    <w:p>
      <w:pPr>
        <w:numPr>
          <w:ilvl w:val="0"/>
          <w:numId w:val="0"/>
        </w:numPr>
        <w:adjustRightInd w:val="0"/>
        <w:snapToGrid w:val="0"/>
        <w:ind w:leftChars="150"/>
        <w:rPr>
          <w:rFonts w:hint="eastAsia"/>
          <w:szCs w:val="21"/>
          <w:lang w:val="en-US" w:eastAsia="zh-CN"/>
        </w:rPr>
      </w:pPr>
    </w:p>
    <w:p>
      <w:pPr>
        <w:adjustRightInd w:val="0"/>
        <w:snapToGrid w:val="0"/>
        <w:ind w:left="180" w:firstLine="316" w:firstLineChars="150"/>
        <w:rPr>
          <w:rFonts w:hint="eastAsia"/>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020"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005"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930"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855"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035"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080"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sz w:val="21"/>
                <w:szCs w:val="21"/>
              </w:rPr>
            </w:pPr>
            <w:r>
              <w:rPr>
                <w:rFonts w:hint="eastAsia" w:ascii="楷体" w:hAnsi="楷体" w:eastAsia="楷体" w:cs="楷体"/>
                <w:color w:val="FF0000"/>
                <w:sz w:val="21"/>
                <w:szCs w:val="21"/>
                <w:lang w:val="en-US" w:eastAsia="zh-CN"/>
              </w:rPr>
              <w:t>4800-5200</w:t>
            </w:r>
          </w:p>
        </w:tc>
        <w:tc>
          <w:tcPr>
            <w:tcW w:w="1020" w:type="dxa"/>
            <w:noWrap w:val="0"/>
            <w:vAlign w:val="center"/>
          </w:tcPr>
          <w:p>
            <w:pPr>
              <w:jc w:val="both"/>
              <w:rPr>
                <w:rFonts w:hint="default" w:eastAsia="宋体"/>
                <w:sz w:val="21"/>
                <w:szCs w:val="21"/>
                <w:lang w:val="en-US" w:eastAsia="zh-CN"/>
              </w:rPr>
            </w:pPr>
            <w:r>
              <w:rPr>
                <w:rFonts w:hint="eastAsia" w:ascii="楷体" w:hAnsi="楷体" w:eastAsia="楷体" w:cs="楷体"/>
                <w:i w:val="0"/>
                <w:color w:val="FF0000"/>
                <w:kern w:val="0"/>
                <w:sz w:val="21"/>
                <w:szCs w:val="21"/>
                <w:u w:val="none"/>
                <w:lang w:val="en-US" w:eastAsia="zh-CN" w:bidi="ar"/>
              </w:rPr>
              <w:t>20-30%</w:t>
            </w:r>
          </w:p>
        </w:tc>
        <w:tc>
          <w:tcPr>
            <w:tcW w:w="1005" w:type="dxa"/>
            <w:noWrap w:val="0"/>
            <w:vAlign w:val="center"/>
          </w:tcPr>
          <w:p>
            <w:pPr>
              <w:jc w:val="center"/>
              <w:rPr>
                <w:rFonts w:hint="default"/>
                <w:sz w:val="21"/>
                <w:szCs w:val="21"/>
                <w:lang w:val="en-US" w:eastAsia="zh-CN"/>
              </w:rPr>
            </w:pPr>
            <w:r>
              <w:rPr>
                <w:rFonts w:hint="eastAsia" w:ascii="楷体" w:hAnsi="楷体" w:eastAsia="楷体" w:cs="楷体"/>
                <w:color w:val="FF0000"/>
                <w:sz w:val="21"/>
                <w:szCs w:val="21"/>
                <w:lang w:val="en-US" w:eastAsia="zh-CN"/>
              </w:rPr>
              <w:t>≤0.6%</w:t>
            </w:r>
          </w:p>
        </w:tc>
        <w:tc>
          <w:tcPr>
            <w:tcW w:w="930" w:type="dxa"/>
            <w:noWrap w:val="0"/>
            <w:vAlign w:val="center"/>
          </w:tcPr>
          <w:p>
            <w:pPr>
              <w:jc w:val="center"/>
              <w:rPr>
                <w:rFonts w:hint="eastAsia"/>
                <w:sz w:val="21"/>
                <w:szCs w:val="21"/>
              </w:rPr>
            </w:pPr>
            <w:r>
              <w:rPr>
                <w:rFonts w:hint="eastAsia" w:ascii="楷体" w:hAnsi="楷体" w:eastAsia="楷体" w:cs="楷体"/>
                <w:color w:val="FF0000"/>
                <w:sz w:val="21"/>
                <w:szCs w:val="21"/>
                <w:highlight w:val="yellow"/>
                <w:lang w:val="en-US" w:eastAsia="zh-CN"/>
              </w:rPr>
              <w:t>≤23%</w:t>
            </w:r>
          </w:p>
        </w:tc>
        <w:tc>
          <w:tcPr>
            <w:tcW w:w="855" w:type="dxa"/>
            <w:noWrap w:val="0"/>
            <w:vAlign w:val="center"/>
          </w:tcPr>
          <w:p>
            <w:pPr>
              <w:spacing w:line="440" w:lineRule="exact"/>
              <w:jc w:val="center"/>
              <w:rPr>
                <w:rFonts w:hint="default"/>
                <w:sz w:val="21"/>
                <w:szCs w:val="21"/>
                <w:lang w:val="en-US" w:eastAsia="zh-CN"/>
              </w:rPr>
            </w:pPr>
            <w:r>
              <w:rPr>
                <w:rFonts w:hint="eastAsia" w:ascii="楷体" w:hAnsi="楷体" w:eastAsia="楷体" w:cs="楷体"/>
                <w:color w:val="FF0000"/>
                <w:sz w:val="21"/>
                <w:szCs w:val="21"/>
                <w:highlight w:val="none"/>
                <w:lang w:val="en-US" w:eastAsia="zh-CN"/>
              </w:rPr>
              <w:t>/</w:t>
            </w:r>
          </w:p>
        </w:tc>
        <w:tc>
          <w:tcPr>
            <w:tcW w:w="1035" w:type="dxa"/>
            <w:noWrap w:val="0"/>
            <w:vAlign w:val="center"/>
          </w:tcPr>
          <w:p>
            <w:pPr>
              <w:jc w:val="center"/>
              <w:rPr>
                <w:rFonts w:hint="eastAsia" w:eastAsia="宋体"/>
                <w:sz w:val="21"/>
                <w:szCs w:val="21"/>
                <w:lang w:eastAsia="zh-CN"/>
              </w:rPr>
            </w:pPr>
            <w:r>
              <w:rPr>
                <w:rFonts w:hint="eastAsia" w:ascii="楷体" w:hAnsi="楷体" w:eastAsia="楷体" w:cs="楷体"/>
                <w:color w:val="FF0000"/>
                <w:sz w:val="21"/>
                <w:szCs w:val="21"/>
                <w:lang w:val="en-US" w:eastAsia="zh-CN"/>
              </w:rPr>
              <w:t>≤15%</w:t>
            </w:r>
          </w:p>
        </w:tc>
        <w:tc>
          <w:tcPr>
            <w:tcW w:w="1080" w:type="dxa"/>
            <w:noWrap w:val="0"/>
            <w:vAlign w:val="center"/>
          </w:tcPr>
          <w:p>
            <w:pPr>
              <w:jc w:val="both"/>
              <w:rPr>
                <w:rFonts w:hint="default" w:eastAsia="宋体"/>
                <w:sz w:val="21"/>
                <w:szCs w:val="21"/>
                <w:lang w:val="en-US" w:eastAsia="zh-CN"/>
              </w:rPr>
            </w:pPr>
            <w:r>
              <w:rPr>
                <w:rFonts w:hint="eastAsia" w:ascii="楷体" w:hAnsi="楷体" w:eastAsia="楷体" w:cs="楷体"/>
                <w:color w:val="FF0000"/>
                <w:sz w:val="21"/>
                <w:szCs w:val="21"/>
                <w:highlight w:val="none"/>
                <w:lang w:val="en-US" w:eastAsia="zh-CN"/>
              </w:rPr>
              <w:t>≤4</w:t>
            </w:r>
          </w:p>
        </w:tc>
      </w:tr>
    </w:tbl>
    <w:p>
      <w:pPr>
        <w:numPr>
          <w:ilvl w:val="0"/>
          <w:numId w:val="0"/>
        </w:numPr>
        <w:adjustRightInd w:val="0"/>
        <w:snapToGrid w:val="0"/>
        <w:ind w:leftChars="150"/>
        <w:rPr>
          <w:rFonts w:hint="eastAsia"/>
          <w:szCs w:val="21"/>
        </w:rPr>
      </w:pPr>
    </w:p>
    <w:p>
      <w:pPr>
        <w:numPr>
          <w:ilvl w:val="0"/>
          <w:numId w:val="0"/>
        </w:numPr>
        <w:adjustRightInd w:val="0"/>
        <w:snapToGrid w:val="0"/>
        <w:ind w:left="420" w:leftChars="0"/>
        <w:rPr>
          <w:rFonts w:hint="eastAsia"/>
          <w:b/>
          <w:bCs/>
          <w:szCs w:val="21"/>
        </w:rPr>
      </w:pPr>
      <w:r>
        <w:rPr>
          <w:rFonts w:hint="eastAsia"/>
          <w:b/>
          <w:bCs/>
          <w:szCs w:val="21"/>
          <w:lang w:val="en-US" w:eastAsia="zh-CN"/>
        </w:rPr>
        <w:t>三、</w:t>
      </w: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color w:val="auto"/>
          <w:szCs w:val="21"/>
          <w:lang w:eastAsia="zh-CN"/>
        </w:rPr>
        <w:t>（</w:t>
      </w:r>
      <w:r>
        <w:rPr>
          <w:rFonts w:hint="eastAsia"/>
          <w:b/>
          <w:bCs/>
          <w:color w:val="auto"/>
          <w:szCs w:val="21"/>
          <w:lang w:val="en-US" w:eastAsia="zh-CN"/>
        </w:rPr>
        <w:t>±5％以内</w:t>
      </w:r>
      <w:r>
        <w:rPr>
          <w:rFonts w:hint="eastAsia"/>
          <w:b/>
          <w:bCs/>
          <w:color w:val="auto"/>
          <w:szCs w:val="21"/>
          <w:lang w:eastAsia="zh-CN"/>
        </w:rPr>
        <w:t>）</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ascii="宋体" w:hAnsi="宋体" w:eastAsia="宋体" w:cs="宋体"/>
          <w:b/>
          <w:bCs/>
          <w:sz w:val="21"/>
          <w:szCs w:val="21"/>
          <w:lang w:val="en-US" w:eastAsia="zh-CN"/>
        </w:rPr>
      </w:pPr>
      <w:r>
        <w:rPr>
          <w:rFonts w:hint="eastAsia"/>
          <w:b/>
          <w:bCs/>
          <w:szCs w:val="21"/>
          <w:lang w:val="en-US" w:eastAsia="zh-CN"/>
        </w:rPr>
        <w:t>四</w:t>
      </w:r>
      <w:r>
        <w:rPr>
          <w:rFonts w:hint="eastAsia"/>
          <w:b/>
          <w:bCs/>
          <w:szCs w:val="21"/>
        </w:rPr>
        <w:t>、</w:t>
      </w:r>
      <w:r>
        <w:rPr>
          <w:rFonts w:hint="eastAsia" w:ascii="宋体" w:hAnsi="宋体" w:eastAsia="宋体" w:cs="宋体"/>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rPr>
        <w:t>元/吨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highlight w:val="none"/>
        </w:rPr>
      </w:pPr>
      <w:r>
        <w:rPr>
          <w:rFonts w:hint="eastAsia"/>
          <w:color w:val="auto"/>
          <w:szCs w:val="21"/>
          <w:lang w:val="en-US" w:eastAsia="zh-CN"/>
        </w:rPr>
        <w:t>1</w:t>
      </w:r>
      <w:r>
        <w:rPr>
          <w:rFonts w:hint="eastAsia"/>
          <w:color w:val="auto"/>
          <w:szCs w:val="21"/>
          <w:highlight w:val="none"/>
          <w:lang w:val="en-US" w:eastAsia="zh-CN"/>
        </w:rPr>
        <w:t>、</w:t>
      </w:r>
      <w:r>
        <w:rPr>
          <w:rFonts w:hint="eastAsia" w:ascii="宋体" w:hAnsi="宋体"/>
          <w:highlight w:val="none"/>
        </w:rPr>
        <w:t>发热量在</w:t>
      </w:r>
      <w:r>
        <w:rPr>
          <w:rFonts w:hint="eastAsia"/>
          <w:highlight w:val="none"/>
        </w:rPr>
        <w:t>(5000-</w:t>
      </w:r>
      <w:r>
        <w:rPr>
          <w:rFonts w:hint="eastAsia"/>
          <w:highlight w:val="none"/>
          <w:lang w:val="en-US" w:eastAsia="zh-CN"/>
        </w:rPr>
        <w:t>2</w:t>
      </w:r>
      <w:r>
        <w:rPr>
          <w:rFonts w:hint="eastAsia"/>
          <w:highlight w:val="none"/>
        </w:rPr>
        <w:t>00)</w:t>
      </w:r>
      <w:r>
        <w:rPr>
          <w:rFonts w:hint="eastAsia" w:ascii="宋体" w:hAnsi="宋体"/>
          <w:highlight w:val="none"/>
        </w:rPr>
        <w:t>（含）～（</w:t>
      </w:r>
      <w:r>
        <w:rPr>
          <w:rFonts w:hint="eastAsia"/>
          <w:highlight w:val="none"/>
        </w:rPr>
        <w:t>5000+</w:t>
      </w:r>
      <w:r>
        <w:rPr>
          <w:rFonts w:hint="eastAsia"/>
          <w:highlight w:val="none"/>
          <w:lang w:val="en-US" w:eastAsia="zh-CN"/>
        </w:rPr>
        <w:t>2</w:t>
      </w:r>
      <w:r>
        <w:rPr>
          <w:rFonts w:hint="eastAsia"/>
          <w:highlight w:val="none"/>
        </w:rPr>
        <w:t>00</w:t>
      </w:r>
      <w:r>
        <w:rPr>
          <w:rFonts w:hint="eastAsia" w:ascii="宋体" w:hAnsi="宋体"/>
          <w:highlight w:val="none"/>
        </w:rPr>
        <w:t>）</w:t>
      </w:r>
      <w:r>
        <w:rPr>
          <w:rFonts w:hint="eastAsia"/>
          <w:highlight w:val="none"/>
        </w:rPr>
        <w:t>Kcal/Kg</w:t>
      </w:r>
      <w:r>
        <w:rPr>
          <w:rFonts w:hint="eastAsia" w:ascii="宋体" w:hAnsi="宋体"/>
          <w:highlight w:val="none"/>
        </w:rPr>
        <w:t>（含）以上的，距离</w:t>
      </w:r>
      <w:r>
        <w:rPr>
          <w:rFonts w:hint="eastAsia"/>
          <w:highlight w:val="none"/>
        </w:rPr>
        <w:t>5000 Kcal/Kg</w:t>
      </w:r>
      <w:r>
        <w:rPr>
          <w:rFonts w:hint="eastAsia" w:ascii="宋体" w:hAnsi="宋体"/>
          <w:highlight w:val="none"/>
        </w:rPr>
        <w:t>每增加或减少</w:t>
      </w:r>
      <w:r>
        <w:rPr>
          <w:rFonts w:hint="eastAsia"/>
          <w:highlight w:val="none"/>
        </w:rPr>
        <w:t>1 Kcal/Kg</w:t>
      </w:r>
      <w:r>
        <w:rPr>
          <w:rFonts w:hint="eastAsia" w:ascii="宋体" w:hAnsi="宋体"/>
          <w:highlight w:val="none"/>
        </w:rPr>
        <w:t>调增或调扣（基准价</w:t>
      </w:r>
      <w:r>
        <w:rPr>
          <w:rFonts w:hint="eastAsia"/>
          <w:highlight w:val="none"/>
        </w:rPr>
        <w:t>/5000</w:t>
      </w:r>
      <w:r>
        <w:rPr>
          <w:rFonts w:hint="eastAsia" w:ascii="宋体" w:hAnsi="宋体"/>
          <w:highlight w:val="none"/>
        </w:rPr>
        <w:t>）元</w:t>
      </w:r>
      <w:r>
        <w:rPr>
          <w:rFonts w:hint="eastAsia"/>
          <w:highlight w:val="none"/>
        </w:rPr>
        <w:t>/</w:t>
      </w:r>
      <w:r>
        <w:rPr>
          <w:rFonts w:hint="eastAsia" w:ascii="宋体" w:hAnsi="宋体"/>
          <w:highlight w:val="none"/>
        </w:rPr>
        <w:t>吨；发热量在</w:t>
      </w:r>
      <w:r>
        <w:rPr>
          <w:rFonts w:hint="eastAsia"/>
          <w:highlight w:val="none"/>
        </w:rPr>
        <w:t>(5000-</w:t>
      </w:r>
      <w:r>
        <w:rPr>
          <w:rFonts w:hint="eastAsia"/>
          <w:highlight w:val="none"/>
          <w:lang w:val="en-US" w:eastAsia="zh-CN"/>
        </w:rPr>
        <w:t>2</w:t>
      </w:r>
      <w:r>
        <w:rPr>
          <w:rFonts w:hint="eastAsia"/>
          <w:highlight w:val="none"/>
        </w:rPr>
        <w:t>00)Kcal/Kg</w:t>
      </w:r>
      <w:r>
        <w:rPr>
          <w:rFonts w:hint="eastAsia" w:ascii="宋体" w:hAnsi="宋体"/>
          <w:highlight w:val="none"/>
        </w:rPr>
        <w:t>以下的，扣款（基准价</w:t>
      </w:r>
      <w:r>
        <w:rPr>
          <w:rFonts w:hint="eastAsia"/>
          <w:highlight w:val="none"/>
        </w:rPr>
        <w:t>/5000 *</w:t>
      </w:r>
      <w:r>
        <w:rPr>
          <w:rFonts w:hint="eastAsia"/>
          <w:highlight w:val="none"/>
          <w:lang w:val="en-US" w:eastAsia="zh-CN"/>
        </w:rPr>
        <w:t>2</w:t>
      </w:r>
      <w:r>
        <w:rPr>
          <w:rFonts w:hint="eastAsia"/>
          <w:highlight w:val="none"/>
        </w:rPr>
        <w:t>00</w:t>
      </w:r>
      <w:r>
        <w:rPr>
          <w:rFonts w:hint="eastAsia" w:ascii="宋体" w:hAnsi="宋体"/>
          <w:highlight w:val="none"/>
        </w:rPr>
        <w:t>）元</w:t>
      </w:r>
      <w:r>
        <w:rPr>
          <w:rFonts w:hint="eastAsia"/>
          <w:highlight w:val="none"/>
        </w:rPr>
        <w:t>/</w:t>
      </w:r>
      <w:r>
        <w:rPr>
          <w:rFonts w:hint="eastAsia" w:ascii="宋体" w:hAnsi="宋体"/>
          <w:highlight w:val="none"/>
        </w:rPr>
        <w:t>吨后距离</w:t>
      </w:r>
      <w:r>
        <w:rPr>
          <w:rFonts w:hint="eastAsia"/>
          <w:highlight w:val="none"/>
        </w:rPr>
        <w:t>(5000-</w:t>
      </w:r>
      <w:r>
        <w:rPr>
          <w:rFonts w:hint="eastAsia"/>
          <w:highlight w:val="none"/>
          <w:lang w:val="en-US" w:eastAsia="zh-CN"/>
        </w:rPr>
        <w:t>2</w:t>
      </w:r>
      <w:r>
        <w:rPr>
          <w:rFonts w:hint="eastAsia"/>
          <w:highlight w:val="none"/>
        </w:rPr>
        <w:t>00)Kcal/Kg</w:t>
      </w:r>
      <w:r>
        <w:rPr>
          <w:rFonts w:hint="eastAsia" w:ascii="宋体" w:hAnsi="宋体"/>
          <w:highlight w:val="none"/>
        </w:rPr>
        <w:t>每少</w:t>
      </w:r>
      <w:r>
        <w:rPr>
          <w:rFonts w:hint="eastAsia"/>
          <w:highlight w:val="none"/>
        </w:rPr>
        <w:t>1 Kcal/Kg</w:t>
      </w:r>
      <w:r>
        <w:rPr>
          <w:rFonts w:hint="eastAsia" w:ascii="宋体" w:hAnsi="宋体"/>
          <w:highlight w:val="none"/>
        </w:rPr>
        <w:t>扣（基准价</w:t>
      </w:r>
      <w:r>
        <w:rPr>
          <w:rFonts w:hint="eastAsia"/>
          <w:highlight w:val="none"/>
        </w:rPr>
        <w:t>/5000 *2</w:t>
      </w:r>
      <w:r>
        <w:rPr>
          <w:rFonts w:hint="eastAsia" w:ascii="宋体" w:hAnsi="宋体"/>
          <w:highlight w:val="none"/>
        </w:rPr>
        <w:t>）元</w:t>
      </w:r>
      <w:r>
        <w:rPr>
          <w:rFonts w:hint="eastAsia"/>
          <w:highlight w:val="none"/>
        </w:rPr>
        <w:t>/</w:t>
      </w:r>
      <w:r>
        <w:rPr>
          <w:rFonts w:hint="eastAsia" w:ascii="宋体" w:hAnsi="宋体"/>
          <w:highlight w:val="none"/>
        </w:rPr>
        <w:t>吨；收到煤炭的基低位发热量低于</w:t>
      </w:r>
      <w:r>
        <w:rPr>
          <w:rFonts w:hint="eastAsia"/>
          <w:highlight w:val="none"/>
        </w:rPr>
        <w:t>(5000-</w:t>
      </w:r>
      <w:r>
        <w:rPr>
          <w:rFonts w:hint="eastAsia"/>
          <w:highlight w:val="none"/>
          <w:lang w:val="en-US" w:eastAsia="zh-CN"/>
        </w:rPr>
        <w:t>5</w:t>
      </w:r>
      <w:r>
        <w:rPr>
          <w:rFonts w:hint="eastAsia"/>
          <w:highlight w:val="none"/>
        </w:rPr>
        <w:t>00)Kcal/Kg</w:t>
      </w:r>
      <w:r>
        <w:rPr>
          <w:rFonts w:hint="eastAsia" w:ascii="宋体" w:hAnsi="宋体"/>
          <w:highlight w:val="none"/>
        </w:rPr>
        <w:t>时，需方有权拒收或按</w:t>
      </w:r>
      <w:r>
        <w:rPr>
          <w:rFonts w:hint="eastAsia"/>
          <w:highlight w:val="none"/>
        </w:rPr>
        <w:t>80</w:t>
      </w:r>
      <w:r>
        <w:rPr>
          <w:rFonts w:hint="eastAsia" w:ascii="宋体" w:hAnsi="宋体"/>
          <w:highlight w:val="none"/>
        </w:rPr>
        <w:t>元</w:t>
      </w:r>
      <w:r>
        <w:rPr>
          <w:rFonts w:hint="eastAsia"/>
          <w:highlight w:val="none"/>
        </w:rPr>
        <w:t>/</w:t>
      </w:r>
      <w:r>
        <w:rPr>
          <w:rFonts w:hint="eastAsia" w:ascii="宋体" w:hAnsi="宋体"/>
          <w:highlight w:val="none"/>
        </w:rPr>
        <w:t>吨计算煤价。</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2、收到基全水高于X％时，每高0.1%扣总吨位的0.1%数量，扣减水分不增加热值。</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4、收到基挥发份＜X%时，按每低 1%扣4元/吨结算，不足1%按比例计算。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5、收到基灰份＞X%时，按每高 1%扣4元/吨结算，不足1%按比例计算。</w:t>
      </w:r>
    </w:p>
    <w:p>
      <w:pPr>
        <w:ind w:firstLine="420" w:firstLineChars="200"/>
        <w:rPr>
          <w:rFonts w:hint="eastAsia"/>
          <w:color w:val="auto"/>
          <w:szCs w:val="21"/>
          <w:lang w:val="en-US" w:eastAsia="zh-CN"/>
        </w:rPr>
      </w:pPr>
      <w:r>
        <w:rPr>
          <w:rFonts w:hint="eastAsia"/>
          <w:color w:val="auto"/>
          <w:szCs w:val="21"/>
          <w:highlight w:val="none"/>
          <w:lang w:val="en-US" w:eastAsia="zh-CN"/>
        </w:rPr>
        <w:t>6、焦渣特性超过合同指标范围时，需方有权拒收，若接收，按每偏差一个标号扣4元/</w:t>
      </w:r>
      <w:r>
        <w:rPr>
          <w:rFonts w:hint="eastAsia"/>
          <w:color w:val="auto"/>
          <w:szCs w:val="21"/>
          <w:lang w:val="en-US" w:eastAsia="zh-CN"/>
        </w:rPr>
        <w:t>吨结算。</w:t>
      </w:r>
    </w:p>
    <w:p>
      <w:pPr>
        <w:ind w:firstLine="420" w:firstLineChars="200"/>
        <w:jc w:val="both"/>
        <w:rPr>
          <w:rFonts w:hint="default"/>
          <w:color w:val="auto"/>
          <w:szCs w:val="21"/>
          <w:highlight w:val="none"/>
          <w:lang w:val="en-US" w:eastAsia="zh-CN"/>
        </w:rPr>
      </w:pPr>
      <w:r>
        <w:rPr>
          <w:rFonts w:hint="eastAsia"/>
          <w:color w:val="auto"/>
          <w:szCs w:val="21"/>
          <w:highlight w:val="none"/>
          <w:lang w:val="en-US" w:eastAsia="zh-CN"/>
        </w:rPr>
        <w:t>7、</w:t>
      </w:r>
      <w:r>
        <w:rPr>
          <w:rFonts w:hint="eastAsia"/>
          <w:color w:val="auto"/>
          <w:szCs w:val="21"/>
          <w:highlight w:val="yellow"/>
          <w:lang w:val="en-US" w:eastAsia="zh-CN"/>
        </w:rPr>
        <w:t>若单船煤炭</w:t>
      </w:r>
      <w:r>
        <w:rPr>
          <w:rFonts w:hint="eastAsia"/>
          <w:szCs w:val="21"/>
          <w:highlight w:val="yellow"/>
        </w:rPr>
        <w:t>低位发热量</w:t>
      </w:r>
      <w:r>
        <w:rPr>
          <w:rFonts w:hint="eastAsia"/>
          <w:szCs w:val="21"/>
          <w:highlight w:val="yellow"/>
          <w:lang w:val="en-US" w:eastAsia="zh-CN"/>
        </w:rPr>
        <w:t>低于4500</w:t>
      </w:r>
      <w:r>
        <w:rPr>
          <w:rFonts w:hint="eastAsia"/>
          <w:szCs w:val="21"/>
          <w:highlight w:val="yellow"/>
        </w:rPr>
        <w:t>kcal/kg</w:t>
      </w:r>
      <w:r>
        <w:rPr>
          <w:rFonts w:hint="eastAsia"/>
          <w:szCs w:val="21"/>
          <w:highlight w:val="yellow"/>
          <w:lang w:eastAsia="zh-CN"/>
        </w:rPr>
        <w:t>，</w:t>
      </w:r>
      <w:r>
        <w:rPr>
          <w:rFonts w:hint="eastAsia"/>
          <w:szCs w:val="21"/>
          <w:highlight w:val="yellow"/>
        </w:rPr>
        <w:t>全硫</w:t>
      </w:r>
      <w:r>
        <w:rPr>
          <w:rFonts w:hint="eastAsia"/>
          <w:szCs w:val="21"/>
          <w:highlight w:val="yellow"/>
          <w:lang w:val="en-US" w:eastAsia="zh-CN"/>
        </w:rPr>
        <w:t>高于0.8</w:t>
      </w:r>
      <w:r>
        <w:rPr>
          <w:rFonts w:hint="eastAsia" w:eastAsia="宋体" w:cs="Times New Roman"/>
          <w:color w:val="auto"/>
          <w:szCs w:val="21"/>
          <w:highlight w:val="yellow"/>
          <w:lang w:val="en-US" w:eastAsia="zh-CN"/>
        </w:rPr>
        <w:t>%，全水高于25%，灰分高于17%，焦渣特性高于4，需方有权拒收或此</w:t>
      </w:r>
      <w:r>
        <w:rPr>
          <w:rFonts w:hint="eastAsia"/>
          <w:color w:val="auto"/>
          <w:szCs w:val="21"/>
          <w:highlight w:val="yellow"/>
          <w:lang w:val="en-US" w:eastAsia="zh-CN"/>
        </w:rPr>
        <w:t>单船</w:t>
      </w:r>
      <w:r>
        <w:rPr>
          <w:rFonts w:hint="eastAsia" w:eastAsia="宋体" w:cs="Times New Roman"/>
          <w:color w:val="auto"/>
          <w:szCs w:val="21"/>
          <w:highlight w:val="yellow"/>
          <w:lang w:val="en-US" w:eastAsia="zh-CN"/>
        </w:rPr>
        <w:t>按合同指标加扣。单船扣减价格接收后，仍计入本批次总量进行计算平均指标。</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8、若发现某批次有石块，根据实际情况随机抽取（车拉过磅），按石块占比进行扣减：</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石块/（煤炭+石头过磅吨位）0.1‰～0.5‰（含），扣除此批次吨位1‰。</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石块/（煤炭+石头过磅吨位）0.5‰～1‰（含），扣除此批次吨位2‰。</w:t>
      </w:r>
    </w:p>
    <w:p>
      <w:pPr>
        <w:ind w:firstLine="420" w:firstLineChars="200"/>
        <w:rPr>
          <w:rFonts w:hint="default"/>
          <w:color w:val="auto"/>
          <w:szCs w:val="21"/>
          <w:highlight w:val="none"/>
          <w:lang w:val="en-US" w:eastAsia="zh-CN"/>
        </w:rPr>
      </w:pPr>
      <w:r>
        <w:rPr>
          <w:rFonts w:hint="eastAsia"/>
          <w:color w:val="auto"/>
          <w:szCs w:val="21"/>
          <w:highlight w:val="none"/>
          <w:lang w:val="en-US" w:eastAsia="zh-CN"/>
        </w:rPr>
        <w:t>石块/（煤炭+石头过磅吨位）＞1‰，拒收。</w:t>
      </w:r>
    </w:p>
    <w:p>
      <w:pPr>
        <w:numPr>
          <w:ilvl w:val="0"/>
          <w:numId w:val="0"/>
        </w:numPr>
        <w:adjustRightInd w:val="0"/>
        <w:snapToGrid w:val="0"/>
        <w:ind w:left="420" w:leftChars="0"/>
        <w:rPr>
          <w:rFonts w:hint="eastAsia"/>
          <w:color w:val="FF0000"/>
          <w:szCs w:val="21"/>
          <w:lang w:val="en-US" w:eastAsia="zh-CN"/>
        </w:rPr>
      </w:pPr>
      <w:r>
        <w:rPr>
          <w:rFonts w:hint="eastAsia"/>
          <w:color w:val="FF0000"/>
          <w:szCs w:val="21"/>
          <w:lang w:val="en-US" w:eastAsia="zh-CN"/>
        </w:rPr>
        <w:t>9、若交货时间超过本合同约定到货时间3天及以内抵达交货地点的，单价下降5元/吨结算；若交货时间超过合同约定3天以上的，需方有权拒收。若需方同意接收，基准单价下降（ 0.0005 元/大卡*延期天数）结算（非供方及不可抗力因素除外）。</w:t>
      </w:r>
    </w:p>
    <w:p>
      <w:pPr>
        <w:adjustRightInd w:val="0"/>
        <w:snapToGrid w:val="0"/>
        <w:ind w:firstLine="422" w:firstLineChars="200"/>
        <w:rPr>
          <w:b/>
          <w:bCs/>
        </w:rPr>
      </w:pPr>
      <w:r>
        <w:rPr>
          <w:rFonts w:hint="eastAsia" w:ascii="宋体" w:hAnsi="宋体"/>
          <w:b/>
          <w:bCs/>
          <w:highlight w:val="none"/>
        </w:rPr>
        <w:t>五、交货方式、时间及地点</w:t>
      </w:r>
    </w:p>
    <w:p>
      <w:pPr>
        <w:ind w:firstLine="420" w:firstLineChars="200"/>
        <w:rPr>
          <w:rFonts w:hint="default" w:asciiTheme="minorEastAsia" w:hAnsiTheme="minorEastAsia" w:eastAsiaTheme="minorEastAsia" w:cstheme="minorEastAsia"/>
          <w:b w:val="0"/>
          <w:bCs/>
          <w:color w:val="FF0000"/>
          <w:sz w:val="21"/>
          <w:szCs w:val="21"/>
          <w:highlight w:val="yellow"/>
          <w:lang w:val="en-US" w:eastAsia="zh-CN"/>
        </w:rPr>
      </w:pPr>
    </w:p>
    <w:p>
      <w:pPr>
        <w:numPr>
          <w:ilvl w:val="0"/>
          <w:numId w:val="0"/>
        </w:numPr>
        <w:ind w:firstLine="420" w:firstLineChars="200"/>
        <w:rPr>
          <w:rFonts w:hint="eastAsia" w:ascii="宋体" w:hAnsi="宋体" w:eastAsia="宋体" w:cs="宋体"/>
          <w:b w:val="0"/>
          <w:bCs/>
          <w:sz w:val="21"/>
          <w:szCs w:val="21"/>
          <w:lang w:eastAsia="zh-CN"/>
        </w:rPr>
      </w:pPr>
      <w:r>
        <w:rPr>
          <w:rFonts w:hint="eastAsia"/>
          <w:szCs w:val="21"/>
          <w:lang w:val="en-US" w:eastAsia="zh-CN"/>
        </w:rPr>
        <w:t>（一）交货时间：</w:t>
      </w:r>
      <w:r>
        <w:rPr>
          <w:rFonts w:hint="eastAsia" w:ascii="宋体" w:hAnsi="宋体" w:eastAsia="宋体" w:cs="宋体"/>
          <w:b w:val="0"/>
          <w:bCs/>
          <w:sz w:val="21"/>
          <w:szCs w:val="21"/>
        </w:rPr>
        <w:t>本合同约定交货时间为</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 (具体</w:t>
      </w:r>
      <w:r>
        <w:rPr>
          <w:rFonts w:hint="eastAsia" w:ascii="宋体" w:hAnsi="宋体" w:eastAsia="宋体" w:cs="宋体"/>
          <w:b w:val="0"/>
          <w:bCs/>
          <w:sz w:val="21"/>
          <w:szCs w:val="21"/>
          <w:lang w:val="en-US" w:eastAsia="zh-CN"/>
        </w:rPr>
        <w:t>每批次</w:t>
      </w:r>
      <w:r>
        <w:rPr>
          <w:rFonts w:hint="eastAsia" w:ascii="宋体" w:hAnsi="宋体" w:eastAsia="宋体" w:cs="宋体"/>
          <w:b w:val="0"/>
          <w:bCs/>
          <w:sz w:val="21"/>
          <w:szCs w:val="21"/>
        </w:rPr>
        <w:t>到货时间及数量</w:t>
      </w:r>
      <w:r>
        <w:rPr>
          <w:rFonts w:hint="eastAsia" w:ascii="宋体" w:hAnsi="宋体" w:eastAsia="宋体" w:cs="宋体"/>
          <w:b w:val="0"/>
          <w:bCs/>
          <w:sz w:val="21"/>
          <w:szCs w:val="21"/>
          <w:lang w:val="en-US" w:eastAsia="zh-CN"/>
        </w:rPr>
        <w:t>以</w:t>
      </w:r>
      <w:r>
        <w:rPr>
          <w:rFonts w:hint="eastAsia" w:ascii="宋体" w:hAnsi="宋体" w:eastAsia="宋体" w:cs="宋体"/>
          <w:b w:val="0"/>
          <w:bCs/>
          <w:sz w:val="21"/>
          <w:szCs w:val="21"/>
        </w:rPr>
        <w:t>需方通知</w:t>
      </w:r>
      <w:r>
        <w:rPr>
          <w:rFonts w:hint="eastAsia" w:ascii="宋体" w:hAnsi="宋体" w:eastAsia="宋体" w:cs="宋体"/>
          <w:b w:val="0"/>
          <w:bCs/>
          <w:sz w:val="21"/>
          <w:szCs w:val="21"/>
          <w:lang w:val="en-US" w:eastAsia="zh-CN"/>
        </w:rPr>
        <w:t>为准</w:t>
      </w:r>
      <w:r>
        <w:rPr>
          <w:rFonts w:hint="eastAsia" w:ascii="宋体" w:hAnsi="宋体" w:eastAsia="宋体" w:cs="宋体"/>
          <w:b w:val="0"/>
          <w:bCs/>
          <w:sz w:val="21"/>
          <w:szCs w:val="21"/>
        </w:rPr>
        <w:t>)，逾期需方有权拒收</w:t>
      </w:r>
      <w:r>
        <w:rPr>
          <w:rFonts w:hint="eastAsia" w:ascii="宋体" w:hAnsi="宋体" w:eastAsia="宋体" w:cs="宋体"/>
          <w:b w:val="0"/>
          <w:bCs/>
          <w:sz w:val="21"/>
          <w:szCs w:val="21"/>
          <w:lang w:eastAsia="zh-CN"/>
        </w:rPr>
        <w:t>。</w:t>
      </w:r>
    </w:p>
    <w:p>
      <w:pPr>
        <w:numPr>
          <w:ilvl w:val="0"/>
          <w:numId w:val="0"/>
        </w:num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（二）交货地点：</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u w:val="single"/>
          <w:lang w:val="en-US" w:eastAsia="zh-CN"/>
        </w:rPr>
        <w:t>码头或煤场</w:t>
      </w:r>
      <w:r>
        <w:rPr>
          <w:rFonts w:hint="eastAsia" w:ascii="宋体" w:hAnsi="宋体" w:eastAsia="宋体" w:cs="宋体"/>
          <w:b w:val="0"/>
          <w:bCs/>
          <w:sz w:val="21"/>
          <w:szCs w:val="21"/>
          <w:lang w:val="en-US" w:eastAsia="zh-CN"/>
        </w:rPr>
        <w:t>。</w:t>
      </w:r>
    </w:p>
    <w:p>
      <w:pPr>
        <w:numPr>
          <w:ilvl w:val="0"/>
          <w:numId w:val="0"/>
        </w:numPr>
        <w:ind w:firstLine="420" w:firstLineChars="200"/>
        <w:rPr>
          <w:rFonts w:hint="default" w:ascii="宋体" w:hAnsi="宋体" w:eastAsia="宋体" w:cs="宋体"/>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宋体" w:hAnsi="宋体" w:eastAsia="宋体" w:cs="宋体"/>
          <w:b w:val="0"/>
          <w:bCs/>
          <w:sz w:val="21"/>
          <w:szCs w:val="21"/>
        </w:rPr>
        <w:t>需方，需方有权根据需要派化验员去供方的煤炭储存处，对供方准备发往需方的煤炭进行取样化验，化验结果表明煤炭品质</w:t>
      </w:r>
      <w:r>
        <w:rPr>
          <w:rFonts w:hint="eastAsia" w:ascii="宋体" w:hAnsi="宋体" w:eastAsia="宋体" w:cs="宋体"/>
          <w:b w:val="0"/>
          <w:bCs/>
          <w:sz w:val="21"/>
          <w:szCs w:val="21"/>
          <w:lang w:val="en-US" w:eastAsia="zh-CN"/>
        </w:rPr>
        <w:t>不</w:t>
      </w:r>
      <w:r>
        <w:rPr>
          <w:rFonts w:hint="eastAsia" w:ascii="宋体" w:hAnsi="宋体" w:eastAsia="宋体" w:cs="宋体"/>
          <w:b w:val="0"/>
          <w:bCs/>
          <w:sz w:val="21"/>
          <w:szCs w:val="21"/>
        </w:rPr>
        <w:t>符合需方要求，</w:t>
      </w:r>
      <w:r>
        <w:rPr>
          <w:rFonts w:hint="eastAsia" w:ascii="宋体" w:hAnsi="宋体" w:eastAsia="宋体" w:cs="宋体"/>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宋体" w:hAnsi="宋体" w:eastAsia="宋体" w:cs="宋体"/>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1、煤炭数量验收</w:t>
      </w:r>
      <w:r>
        <w:rPr>
          <w:rFonts w:hint="eastAsia" w:ascii="宋体" w:hAnsi="宋体" w:eastAsia="宋体" w:cs="宋体"/>
          <w:b w:val="0"/>
          <w:bCs/>
          <w:sz w:val="21"/>
          <w:szCs w:val="21"/>
        </w:rPr>
        <w:t>按</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rPr>
        <w:t>计量衡器</w:t>
      </w:r>
      <w:r>
        <w:rPr>
          <w:rFonts w:hint="eastAsia" w:ascii="宋体" w:hAnsi="宋体" w:eastAsia="宋体" w:cs="宋体"/>
          <w:b w:val="0"/>
          <w:bCs/>
          <w:sz w:val="21"/>
          <w:szCs w:val="21"/>
          <w:lang w:val="en-US" w:eastAsia="zh-CN"/>
        </w:rPr>
        <w:t>数据为准</w:t>
      </w:r>
      <w:r>
        <w:rPr>
          <w:rFonts w:hint="eastAsia" w:ascii="宋体" w:hAnsi="宋体" w:eastAsia="宋体" w:cs="宋体"/>
          <w:b w:val="0"/>
          <w:bCs/>
          <w:sz w:val="21"/>
          <w:szCs w:val="21"/>
        </w:rPr>
        <w:t>，供需双方派员监磅，称重码单应由双方监磅人员共同签字认可</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需方根据需要</w:t>
      </w:r>
      <w:r>
        <w:rPr>
          <w:rFonts w:hint="eastAsia" w:ascii="宋体" w:hAnsi="宋体" w:eastAsia="宋体" w:cs="宋体"/>
          <w:b w:val="0"/>
          <w:bCs/>
          <w:sz w:val="21"/>
          <w:szCs w:val="21"/>
          <w:lang w:val="en-US" w:eastAsia="zh-CN"/>
        </w:rPr>
        <w:t>有权</w:t>
      </w:r>
      <w:r>
        <w:rPr>
          <w:rFonts w:hint="eastAsia" w:ascii="宋体" w:hAnsi="宋体" w:eastAsia="宋体" w:cs="宋体"/>
          <w:b w:val="0"/>
          <w:bCs/>
          <w:sz w:val="21"/>
          <w:szCs w:val="21"/>
        </w:rPr>
        <w:t>对来煤</w:t>
      </w:r>
      <w:r>
        <w:rPr>
          <w:rFonts w:hint="eastAsia" w:ascii="宋体" w:hAnsi="宋体" w:eastAsia="宋体" w:cs="宋体"/>
          <w:b w:val="0"/>
          <w:bCs/>
          <w:sz w:val="21"/>
          <w:szCs w:val="21"/>
          <w:lang w:val="en-US" w:eastAsia="zh-CN"/>
        </w:rPr>
        <w:t>中</w:t>
      </w:r>
      <w:r>
        <w:rPr>
          <w:rFonts w:hint="eastAsia" w:ascii="宋体" w:hAnsi="宋体" w:eastAsia="宋体" w:cs="宋体"/>
          <w:b w:val="0"/>
          <w:bCs/>
          <w:sz w:val="21"/>
          <w:szCs w:val="21"/>
        </w:rPr>
        <w:t>石块、煤矸石含有率进行抽查</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并根据抽查结果重新计算该批煤炭重量</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供方对需方皮带秤、地磅等计量衡器准确性有争议，要求校验，供方必须以书面形式提出争议的问题</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校验工作由</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来进行校验。如果</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校验结果表明公司计量衡器的</w:t>
      </w:r>
      <w:r>
        <w:rPr>
          <w:rFonts w:hint="eastAsia" w:ascii="宋体" w:hAnsi="宋体" w:eastAsia="宋体" w:cs="宋体"/>
          <w:b w:val="0"/>
          <w:bCs/>
          <w:sz w:val="21"/>
          <w:szCs w:val="21"/>
          <w:lang w:val="en-US" w:eastAsia="zh-CN"/>
        </w:rPr>
        <w:t>偏差</w:t>
      </w:r>
      <w:r>
        <w:rPr>
          <w:rFonts w:hint="eastAsia" w:ascii="宋体" w:hAnsi="宋体" w:eastAsia="宋体" w:cs="宋体"/>
          <w:b w:val="0"/>
          <w:bCs/>
          <w:sz w:val="21"/>
          <w:szCs w:val="21"/>
        </w:rPr>
        <w:t>在国家允许范围</w:t>
      </w:r>
      <w:r>
        <w:rPr>
          <w:rFonts w:hint="eastAsia" w:ascii="宋体" w:hAnsi="宋体" w:eastAsia="宋体" w:cs="宋体"/>
          <w:b w:val="0"/>
          <w:bCs/>
          <w:sz w:val="21"/>
          <w:szCs w:val="21"/>
          <w:lang w:val="en-US" w:eastAsia="zh-CN"/>
        </w:rPr>
        <w:t>内</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汽车衡允许偏差±3‰</w:t>
      </w:r>
      <w:r>
        <w:rPr>
          <w:rFonts w:hint="eastAsia" w:ascii="宋体" w:hAnsi="宋体" w:eastAsia="宋体" w:cs="宋体"/>
          <w:b w:val="0"/>
          <w:bCs/>
          <w:sz w:val="21"/>
          <w:szCs w:val="21"/>
        </w:rPr>
        <w:t>，</w:t>
      </w:r>
      <w:r>
        <w:rPr>
          <w:rFonts w:hint="eastAsia" w:ascii="宋体" w:hAnsi="宋体" w:eastAsia="宋体" w:cs="宋体"/>
          <w:b w:val="0"/>
          <w:bCs/>
          <w:sz w:val="21"/>
          <w:szCs w:val="21"/>
          <w:lang w:val="en-US" w:eastAsia="zh-CN"/>
        </w:rPr>
        <w:t>皮带秤允许偏差±5‰），则供方承担检测费用；否则需方承担检测费用，</w:t>
      </w:r>
      <w:r>
        <w:rPr>
          <w:rFonts w:hint="eastAsia" w:ascii="宋体" w:hAnsi="宋体" w:eastAsia="宋体" w:cs="宋体"/>
          <w:b w:val="0"/>
          <w:bCs/>
          <w:sz w:val="21"/>
          <w:szCs w:val="21"/>
        </w:rPr>
        <w:t>且</w:t>
      </w:r>
      <w:r>
        <w:rPr>
          <w:rFonts w:hint="eastAsia" w:ascii="宋体" w:hAnsi="宋体" w:eastAsia="宋体" w:cs="宋体"/>
          <w:b w:val="0"/>
          <w:bCs/>
          <w:sz w:val="21"/>
          <w:szCs w:val="21"/>
          <w:lang w:val="en-US" w:eastAsia="zh-CN"/>
        </w:rPr>
        <w:t>偏</w:t>
      </w:r>
      <w:r>
        <w:rPr>
          <w:rFonts w:hint="eastAsia" w:ascii="宋体" w:hAnsi="宋体" w:eastAsia="宋体" w:cs="宋体"/>
          <w:b w:val="0"/>
          <w:bCs/>
          <w:sz w:val="21"/>
          <w:szCs w:val="21"/>
        </w:rPr>
        <w:t>差值部分进行补扣吨位。</w:t>
      </w:r>
    </w:p>
    <w:p>
      <w:pPr>
        <w:ind w:firstLine="420" w:firstLineChars="200"/>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4、供方</w:t>
      </w:r>
      <w:r>
        <w:rPr>
          <w:rFonts w:hint="eastAsia" w:ascii="宋体" w:hAnsi="宋体" w:eastAsia="宋体" w:cs="宋体"/>
          <w:b w:val="0"/>
          <w:bCs/>
          <w:color w:val="auto"/>
          <w:sz w:val="21"/>
          <w:szCs w:val="21"/>
        </w:rPr>
        <w:t>对需方皮带秤准确性有</w:t>
      </w:r>
      <w:r>
        <w:rPr>
          <w:rFonts w:hint="eastAsia" w:ascii="宋体" w:hAnsi="宋体" w:eastAsia="宋体" w:cs="宋体"/>
          <w:b w:val="0"/>
          <w:bCs/>
          <w:color w:val="auto"/>
          <w:sz w:val="21"/>
          <w:szCs w:val="21"/>
          <w:lang w:val="en-US" w:eastAsia="zh-CN"/>
        </w:rPr>
        <w:t>疑义</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要求抽船过汽车衡，</w:t>
      </w:r>
      <w:r>
        <w:rPr>
          <w:rFonts w:hint="eastAsia" w:ascii="宋体" w:hAnsi="宋体" w:eastAsia="宋体" w:cs="宋体"/>
          <w:b w:val="0"/>
          <w:bCs/>
          <w:color w:val="auto"/>
          <w:sz w:val="21"/>
          <w:szCs w:val="21"/>
        </w:rPr>
        <w:t>供方必须以书面形式提出</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r>
        <w:rPr>
          <w:rFonts w:hint="eastAsia" w:ascii="宋体" w:hAnsi="宋体" w:eastAsia="宋体" w:cs="宋体"/>
          <w:b w:val="0"/>
          <w:bCs/>
          <w:sz w:val="21"/>
          <w:szCs w:val="21"/>
        </w:rPr>
        <w:t>结算数量为</w:t>
      </w:r>
      <w:r>
        <w:rPr>
          <w:rFonts w:hint="eastAsia" w:ascii="宋体" w:hAnsi="宋体" w:eastAsia="宋体" w:cs="宋体"/>
          <w:b w:val="0"/>
          <w:bCs/>
          <w:sz w:val="21"/>
          <w:szCs w:val="21"/>
          <w:lang w:val="en-US" w:eastAsia="zh-CN"/>
        </w:rPr>
        <w:t>根据</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上述</w:t>
      </w:r>
      <w:r>
        <w:rPr>
          <w:rFonts w:hint="eastAsia" w:ascii="宋体" w:hAnsi="宋体" w:eastAsia="宋体" w:cs="宋体"/>
          <w:b w:val="0"/>
          <w:bCs/>
          <w:sz w:val="21"/>
          <w:szCs w:val="21"/>
        </w:rPr>
        <w:t>条</w:t>
      </w:r>
      <w:r>
        <w:rPr>
          <w:rFonts w:hint="eastAsia" w:ascii="宋体" w:hAnsi="宋体" w:eastAsia="宋体" w:cs="宋体"/>
          <w:b w:val="0"/>
          <w:bCs/>
          <w:sz w:val="21"/>
          <w:szCs w:val="21"/>
          <w:lang w:val="en-US" w:eastAsia="zh-CN"/>
        </w:rPr>
        <w:t>款所述</w:t>
      </w:r>
      <w:r>
        <w:rPr>
          <w:rFonts w:hint="eastAsia" w:ascii="宋体" w:hAnsi="宋体" w:eastAsia="宋体" w:cs="宋体"/>
          <w:b w:val="0"/>
          <w:bCs/>
          <w:sz w:val="21"/>
          <w:szCs w:val="21"/>
        </w:rPr>
        <w:t>供需双方</w:t>
      </w:r>
      <w:r>
        <w:rPr>
          <w:rFonts w:hint="eastAsia" w:ascii="宋体" w:hAnsi="宋体" w:eastAsia="宋体" w:cs="宋体"/>
          <w:b w:val="0"/>
          <w:bCs/>
          <w:sz w:val="21"/>
          <w:szCs w:val="21"/>
          <w:lang w:val="en-US" w:eastAsia="zh-CN"/>
        </w:rPr>
        <w:t>确定</w:t>
      </w:r>
      <w:r>
        <w:rPr>
          <w:rFonts w:hint="eastAsia" w:ascii="宋体" w:hAnsi="宋体" w:eastAsia="宋体" w:cs="宋体"/>
          <w:b w:val="0"/>
          <w:bCs/>
          <w:sz w:val="21"/>
          <w:szCs w:val="21"/>
        </w:rPr>
        <w:t>认可的数量。</w:t>
      </w:r>
    </w:p>
    <w:p>
      <w:pPr>
        <w:numPr>
          <w:ilvl w:val="0"/>
          <w:numId w:val="0"/>
        </w:numPr>
        <w:ind w:left="420" w:leftChars="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（二）质量的验收</w:t>
      </w:r>
    </w:p>
    <w:p>
      <w:pPr>
        <w:ind w:firstLine="420" w:firstLineChars="200"/>
        <w:jc w:val="both"/>
        <w:rPr>
          <w:rFonts w:hint="default" w:eastAsia="宋体"/>
          <w:szCs w:val="20"/>
          <w:lang w:val="en-US" w:eastAsia="zh-CN"/>
        </w:rPr>
      </w:pPr>
      <w:r>
        <w:rPr>
          <w:rFonts w:hint="eastAsia" w:ascii="宋体" w:hAnsi="宋体" w:eastAsia="宋体" w:cs="宋体"/>
          <w:b w:val="0"/>
          <w:bCs/>
          <w:sz w:val="21"/>
          <w:szCs w:val="21"/>
          <w:lang w:val="en-US" w:eastAsia="zh-CN"/>
        </w:rPr>
        <w:t>1、质量指标以需方（或双方确定的第三方）化验结果为准</w:t>
      </w:r>
      <w:r>
        <w:rPr>
          <w:rFonts w:hint="eastAsia" w:ascii="宋体" w:hAnsi="宋体" w:cs="宋体"/>
          <w:b w:val="0"/>
          <w:bCs/>
          <w:sz w:val="21"/>
          <w:szCs w:val="21"/>
          <w:highlight w:val="yellow"/>
          <w:lang w:val="en-US" w:eastAsia="zh-CN"/>
        </w:rPr>
        <w:t>（除收到基全水分以需方化验结果为准</w:t>
      </w:r>
      <w:r>
        <w:rPr>
          <w:rFonts w:hint="eastAsia" w:ascii="宋体" w:hAnsi="宋体" w:cs="宋体"/>
          <w:b w:val="0"/>
          <w:bCs/>
          <w:sz w:val="21"/>
          <w:szCs w:val="21"/>
          <w:lang w:val="en-US" w:eastAsia="zh-CN"/>
        </w:rPr>
        <w:t>）</w:t>
      </w:r>
      <w:r>
        <w:rPr>
          <w:rFonts w:hint="eastAsia" w:ascii="宋体" w:hAnsi="宋体" w:eastAsia="宋体" w:cs="宋体"/>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 xml:space="preserve"> 50大卡</w:t>
      </w:r>
      <w:r>
        <w:rPr>
          <w:rFonts w:hint="eastAsia"/>
          <w:szCs w:val="20"/>
          <w:u w:val="single"/>
          <w:lang w:val="en-US" w:eastAsia="zh-CN"/>
        </w:rPr>
        <w:t xml:space="preserve">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highlight w:val="yellow"/>
          <w:u w:val="single"/>
          <w:lang w:val="en-US" w:eastAsia="zh-CN"/>
        </w:rPr>
        <w:t xml:space="preserve">50大卡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如果供</w:t>
      </w:r>
      <w:r>
        <w:rPr>
          <w:rFonts w:hint="eastAsia" w:ascii="宋体" w:hAnsi="宋体" w:eastAsia="宋体" w:cs="宋体"/>
          <w:b w:val="0"/>
          <w:bCs/>
          <w:sz w:val="21"/>
          <w:szCs w:val="21"/>
          <w:lang w:val="en-US" w:eastAsia="zh-CN"/>
        </w:rPr>
        <w:t>方（或任一方）</w:t>
      </w:r>
      <w:r>
        <w:rPr>
          <w:rFonts w:hint="eastAsia" w:ascii="宋体" w:hAnsi="宋体" w:eastAsia="宋体" w:cs="宋体"/>
          <w:b w:val="0"/>
          <w:bCs/>
          <w:sz w:val="21"/>
          <w:szCs w:val="21"/>
          <w:lang w:eastAsia="zh-CN"/>
        </w:rPr>
        <w:t>在得到需方（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）化验结果通知的</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日内提出除发热量及全水以外的其它指标的化验争议，按照</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eastAsia="zh-CN"/>
        </w:rPr>
        <w:t>出具的质量检验报告办理结算单。如果需方（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）化验的指标与</w:t>
      </w:r>
      <w:r>
        <w:rPr>
          <w:rFonts w:hint="eastAsia" w:ascii="宋体" w:hAnsi="宋体" w:eastAsia="宋体" w:cs="宋体"/>
          <w:b w:val="0"/>
          <w:bCs/>
          <w:sz w:val="21"/>
          <w:szCs w:val="21"/>
          <w:lang w:val="en-US" w:eastAsia="zh-CN"/>
        </w:rPr>
        <w:t>该</w:t>
      </w:r>
      <w:r>
        <w:rPr>
          <w:rFonts w:hint="eastAsia" w:ascii="宋体" w:hAnsi="宋体" w:eastAsia="宋体" w:cs="宋体"/>
          <w:b w:val="0"/>
          <w:bCs/>
          <w:color w:val="auto"/>
          <w:sz w:val="21"/>
          <w:szCs w:val="21"/>
          <w:lang w:eastAsia="zh-CN"/>
        </w:rPr>
        <w:t>机构</w:t>
      </w:r>
      <w:r>
        <w:rPr>
          <w:rFonts w:hint="eastAsia" w:ascii="宋体" w:hAnsi="宋体" w:eastAsia="宋体" w:cs="宋体"/>
          <w:b w:val="0"/>
          <w:bCs/>
          <w:sz w:val="21"/>
          <w:szCs w:val="21"/>
          <w:lang w:eastAsia="zh-CN"/>
        </w:rPr>
        <w:t>所出具的报告指标</w:t>
      </w:r>
      <w:r>
        <w:rPr>
          <w:rFonts w:hint="eastAsia" w:ascii="宋体" w:hAnsi="宋体" w:eastAsia="宋体" w:cs="宋体"/>
          <w:b w:val="0"/>
          <w:bCs/>
          <w:sz w:val="21"/>
          <w:szCs w:val="21"/>
          <w:lang w:val="en-US" w:eastAsia="zh-CN"/>
        </w:rPr>
        <w:t>在国家标准允许偏差范围内</w:t>
      </w:r>
      <w:r>
        <w:rPr>
          <w:rFonts w:hint="eastAsia" w:ascii="宋体" w:hAnsi="宋体" w:eastAsia="宋体" w:cs="宋体"/>
          <w:b w:val="0"/>
          <w:bCs/>
          <w:sz w:val="21"/>
          <w:szCs w:val="21"/>
          <w:lang w:eastAsia="zh-CN"/>
        </w:rPr>
        <w:t>，费用由供</w:t>
      </w:r>
      <w:r>
        <w:rPr>
          <w:rFonts w:hint="eastAsia" w:ascii="宋体" w:hAnsi="宋体" w:eastAsia="宋体" w:cs="宋体"/>
          <w:b w:val="0"/>
          <w:bCs/>
          <w:sz w:val="21"/>
          <w:szCs w:val="21"/>
          <w:lang w:val="en-US" w:eastAsia="zh-CN"/>
        </w:rPr>
        <w:t>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或提出方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承担。</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在供方的</w:t>
      </w:r>
      <w:r>
        <w:rPr>
          <w:rFonts w:hint="eastAsia" w:ascii="宋体" w:hAnsi="宋体" w:eastAsia="宋体" w:cs="宋体"/>
          <w:b w:val="0"/>
          <w:bCs/>
          <w:sz w:val="21"/>
          <w:szCs w:val="21"/>
          <w:lang w:val="en-US" w:eastAsia="zh-CN"/>
        </w:rPr>
        <w:t>货运</w:t>
      </w:r>
      <w:r>
        <w:rPr>
          <w:rFonts w:hint="eastAsia" w:ascii="宋体" w:hAnsi="宋体" w:eastAsia="宋体" w:cs="宋体"/>
          <w:b w:val="0"/>
          <w:bCs/>
          <w:sz w:val="21"/>
          <w:szCs w:val="21"/>
        </w:rPr>
        <w:t>工具到需方后，供方应提供相应的煤质化验报告，需方</w:t>
      </w:r>
      <w:r>
        <w:rPr>
          <w:rFonts w:hint="eastAsia" w:ascii="宋体" w:hAnsi="宋体" w:eastAsia="宋体" w:cs="宋体"/>
          <w:b w:val="0"/>
          <w:bCs/>
          <w:sz w:val="21"/>
          <w:szCs w:val="21"/>
          <w:lang w:val="en-US" w:eastAsia="zh-CN"/>
        </w:rPr>
        <w:t>根据需要</w:t>
      </w:r>
      <w:r>
        <w:rPr>
          <w:rFonts w:hint="eastAsia" w:ascii="宋体" w:hAnsi="宋体" w:eastAsia="宋体" w:cs="宋体"/>
          <w:b w:val="0"/>
          <w:bCs/>
          <w:sz w:val="21"/>
          <w:szCs w:val="21"/>
        </w:rPr>
        <w:t>进行</w:t>
      </w:r>
      <w:r>
        <w:rPr>
          <w:rFonts w:hint="eastAsia" w:ascii="宋体" w:hAnsi="宋体" w:eastAsia="宋体" w:cs="宋体"/>
          <w:b w:val="0"/>
          <w:bCs/>
          <w:sz w:val="21"/>
          <w:szCs w:val="21"/>
          <w:lang w:val="en-US" w:eastAsia="zh-CN"/>
        </w:rPr>
        <w:t>表层取</w:t>
      </w:r>
      <w:r>
        <w:rPr>
          <w:rFonts w:hint="eastAsia" w:ascii="宋体" w:hAnsi="宋体" w:eastAsia="宋体" w:cs="宋体"/>
          <w:b w:val="0"/>
          <w:bCs/>
          <w:sz w:val="21"/>
          <w:szCs w:val="21"/>
        </w:rPr>
        <w:t>样，如果表层样化验结果无法达到合同质量标准，需方有权拒收。</w:t>
      </w:r>
      <w:r>
        <w:rPr>
          <w:rFonts w:hint="eastAsia" w:ascii="宋体" w:hAnsi="宋体" w:eastAsia="宋体" w:cs="宋体"/>
          <w:b w:val="0"/>
          <w:bCs/>
          <w:sz w:val="21"/>
          <w:szCs w:val="21"/>
          <w:lang w:val="en-US" w:eastAsia="zh-CN"/>
        </w:rPr>
        <w:t>需方收货不代表对该批次所有煤炭质量的认可。</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在卸煤过程中，如发现供方有违规嫌疑，对有违规嫌疑的运输工具，需方有权增加取样次数</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需方须提前2小时通知供方取样的时间、地点，在需方</w:t>
      </w:r>
      <w:r>
        <w:rPr>
          <w:rFonts w:hint="eastAsia" w:ascii="宋体" w:hAnsi="宋体" w:eastAsia="宋体" w:cs="宋体"/>
          <w:b w:val="0"/>
          <w:bCs/>
          <w:kern w:val="0"/>
          <w:sz w:val="21"/>
          <w:szCs w:val="21"/>
        </w:rPr>
        <w:t>已经将</w:t>
      </w:r>
      <w:r>
        <w:rPr>
          <w:rFonts w:hint="eastAsia" w:ascii="宋体" w:hAnsi="宋体" w:eastAsia="宋体" w:cs="宋体"/>
          <w:b w:val="0"/>
          <w:bCs/>
          <w:sz w:val="21"/>
          <w:szCs w:val="21"/>
        </w:rPr>
        <w:t>取样的时间、地点</w:t>
      </w:r>
      <w:r>
        <w:rPr>
          <w:rFonts w:hint="eastAsia" w:ascii="宋体" w:hAnsi="宋体" w:eastAsia="宋体" w:cs="宋体"/>
          <w:b w:val="0"/>
          <w:bCs/>
          <w:kern w:val="0"/>
          <w:sz w:val="21"/>
          <w:szCs w:val="21"/>
        </w:rPr>
        <w:t>告之</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而</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没有能够按时到达</w:t>
      </w:r>
      <w:r>
        <w:rPr>
          <w:rFonts w:hint="eastAsia" w:ascii="宋体" w:hAnsi="宋体" w:eastAsia="宋体" w:cs="宋体"/>
          <w:b w:val="0"/>
          <w:bCs/>
          <w:sz w:val="21"/>
          <w:szCs w:val="21"/>
        </w:rPr>
        <w:t>取样现场，不管供方何种原因都视同供方认可需方这次取样的相关操作及化验结果，此化验结果将作为此批</w:t>
      </w:r>
      <w:r>
        <w:rPr>
          <w:rFonts w:hint="eastAsia" w:ascii="宋体" w:hAnsi="宋体" w:eastAsia="宋体" w:cs="宋体"/>
          <w:b w:val="0"/>
          <w:bCs/>
          <w:sz w:val="21"/>
          <w:szCs w:val="21"/>
          <w:lang w:val="en-US" w:eastAsia="zh-CN"/>
        </w:rPr>
        <w:t>次</w:t>
      </w:r>
      <w:r>
        <w:rPr>
          <w:rFonts w:hint="eastAsia" w:ascii="宋体" w:hAnsi="宋体" w:eastAsia="宋体" w:cs="宋体"/>
          <w:b w:val="0"/>
          <w:bCs/>
          <w:sz w:val="21"/>
          <w:szCs w:val="21"/>
        </w:rPr>
        <w:t>煤的结算</w:t>
      </w:r>
      <w:r>
        <w:rPr>
          <w:rFonts w:hint="eastAsia" w:ascii="宋体" w:hAnsi="宋体" w:eastAsia="宋体" w:cs="宋体"/>
          <w:b w:val="0"/>
          <w:bCs/>
          <w:sz w:val="21"/>
          <w:szCs w:val="21"/>
          <w:lang w:val="en-US" w:eastAsia="zh-CN"/>
        </w:rPr>
        <w:t>依据</w:t>
      </w:r>
      <w:r>
        <w:rPr>
          <w:rFonts w:hint="eastAsia" w:ascii="宋体" w:hAnsi="宋体" w:eastAsia="宋体" w:cs="宋体"/>
          <w:b w:val="0"/>
          <w:bCs/>
          <w:sz w:val="21"/>
          <w:szCs w:val="21"/>
        </w:rPr>
        <w:t>。</w:t>
      </w:r>
    </w:p>
    <w:p>
      <w:pPr>
        <w:widowControl/>
        <w:ind w:firstLine="420" w:firstLineChars="200"/>
        <w:jc w:val="left"/>
        <w:rPr>
          <w:rFonts w:hint="eastAsia" w:ascii="宋体" w:hAnsi="宋体" w:eastAsia="宋体" w:cs="宋体"/>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宋体" w:hAnsi="宋体" w:eastAsia="宋体" w:cs="宋体"/>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宋体" w:hAnsi="宋体" w:eastAsia="宋体" w:cs="宋体"/>
          <w:b w:val="0"/>
          <w:bCs/>
          <w:sz w:val="21"/>
          <w:szCs w:val="21"/>
          <w:lang w:eastAsia="zh-CN"/>
        </w:rPr>
      </w:pPr>
      <w:r>
        <w:rPr>
          <w:rFonts w:hint="eastAsia"/>
          <w:szCs w:val="21"/>
          <w:lang w:val="en-US" w:eastAsia="zh-CN"/>
        </w:rPr>
        <w:t>（一）</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履约</w:t>
      </w:r>
      <w:r>
        <w:rPr>
          <w:rFonts w:hint="eastAsia" w:ascii="宋体" w:hAnsi="宋体" w:eastAsia="宋体" w:cs="宋体"/>
          <w:b w:val="0"/>
          <w:bCs/>
          <w:sz w:val="21"/>
          <w:szCs w:val="21"/>
        </w:rPr>
        <w:t>保证金：在签订本合</w:t>
      </w:r>
      <w:r>
        <w:rPr>
          <w:rFonts w:hint="eastAsia" w:ascii="宋体" w:hAnsi="宋体" w:eastAsia="宋体" w:cs="宋体"/>
          <w:b w:val="0"/>
          <w:bCs/>
          <w:sz w:val="21"/>
          <w:szCs w:val="21"/>
          <w:lang w:val="en-US" w:eastAsia="zh-CN"/>
        </w:rPr>
        <w:t>同前</w:t>
      </w:r>
      <w:r>
        <w:rPr>
          <w:rFonts w:hint="eastAsia" w:ascii="宋体" w:hAnsi="宋体" w:eastAsia="宋体" w:cs="宋体"/>
          <w:b w:val="0"/>
          <w:bCs/>
          <w:sz w:val="21"/>
          <w:szCs w:val="21"/>
        </w:rPr>
        <w:t>供方付给需方履约保证金人民币</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万元</w:t>
      </w:r>
      <w:r>
        <w:rPr>
          <w:rFonts w:hint="eastAsia" w:ascii="宋体" w:hAnsi="宋体" w:eastAsia="宋体" w:cs="宋体"/>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关于质量：供方所供煤炭质量如经检验达</w:t>
      </w:r>
      <w:r>
        <w:rPr>
          <w:rFonts w:hint="eastAsia" w:ascii="宋体" w:hAnsi="宋体" w:eastAsia="宋体" w:cs="宋体"/>
          <w:b w:val="0"/>
          <w:bCs/>
          <w:sz w:val="21"/>
          <w:szCs w:val="21"/>
          <w:lang w:val="en-US" w:eastAsia="zh-CN"/>
        </w:rPr>
        <w:t>到拒收条款时</w:t>
      </w:r>
      <w:r>
        <w:rPr>
          <w:rFonts w:hint="eastAsia" w:ascii="宋体" w:hAnsi="宋体" w:eastAsia="宋体" w:cs="宋体"/>
          <w:b w:val="0"/>
          <w:bCs/>
          <w:sz w:val="21"/>
          <w:szCs w:val="21"/>
        </w:rPr>
        <w:t>,需方有权拒收该批煤炭。若供方所供的不合格煤炭</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达到拒收条款</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数量已经达到本合同数量的20％，则需方有权终止合同，经书面、邮件或传真通知供方即生效</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宋体" w:hAnsi="宋体" w:eastAsia="宋体" w:cs="宋体"/>
          <w:b w:val="0"/>
          <w:bCs/>
          <w:sz w:val="21"/>
          <w:szCs w:val="21"/>
          <w:lang w:val="en-US"/>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供货时间</w:t>
      </w:r>
      <w:r>
        <w:rPr>
          <w:rFonts w:hint="eastAsia" w:ascii="宋体" w:hAnsi="宋体" w:eastAsia="宋体" w:cs="宋体"/>
          <w:b w:val="0"/>
          <w:bCs/>
          <w:sz w:val="21"/>
          <w:szCs w:val="21"/>
        </w:rPr>
        <w:t>：供方</w:t>
      </w:r>
      <w:r>
        <w:rPr>
          <w:rFonts w:hint="eastAsia" w:ascii="宋体" w:hAnsi="宋体" w:eastAsia="宋体" w:cs="宋体"/>
          <w:b w:val="0"/>
          <w:bCs/>
          <w:sz w:val="21"/>
          <w:szCs w:val="21"/>
          <w:lang w:val="en-US" w:eastAsia="zh-CN"/>
        </w:rPr>
        <w:t>每批次煤炭供货时间</w:t>
      </w:r>
      <w:r>
        <w:rPr>
          <w:rFonts w:hint="eastAsia" w:ascii="宋体" w:hAnsi="宋体" w:eastAsia="宋体" w:cs="宋体"/>
          <w:b w:val="0"/>
          <w:bCs/>
          <w:sz w:val="21"/>
          <w:szCs w:val="21"/>
        </w:rPr>
        <w:t>超过需方指定交货时间十天以</w:t>
      </w:r>
      <w:r>
        <w:rPr>
          <w:rFonts w:hint="eastAsia" w:ascii="宋体" w:hAnsi="宋体" w:eastAsia="宋体" w:cs="宋体"/>
          <w:b w:val="0"/>
          <w:bCs/>
          <w:sz w:val="21"/>
          <w:szCs w:val="21"/>
          <w:lang w:val="en-US" w:eastAsia="zh-CN"/>
        </w:rPr>
        <w:t>上</w:t>
      </w:r>
      <w:r>
        <w:rPr>
          <w:rFonts w:hint="eastAsia" w:ascii="宋体" w:hAnsi="宋体" w:eastAsia="宋体" w:cs="宋体"/>
          <w:b w:val="0"/>
          <w:bCs/>
          <w:sz w:val="21"/>
          <w:szCs w:val="21"/>
        </w:rPr>
        <w:t>则</w:t>
      </w:r>
      <w:r>
        <w:rPr>
          <w:rFonts w:hint="eastAsia" w:ascii="宋体" w:hAnsi="宋体" w:eastAsia="宋体" w:cs="宋体"/>
          <w:b w:val="0"/>
          <w:bCs/>
          <w:sz w:val="21"/>
          <w:szCs w:val="21"/>
          <w:lang w:val="en-US" w:eastAsia="zh-CN"/>
        </w:rPr>
        <w:t>定</w:t>
      </w:r>
      <w:r>
        <w:rPr>
          <w:rFonts w:hint="eastAsia" w:ascii="宋体" w:hAnsi="宋体" w:eastAsia="宋体" w:cs="宋体"/>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宋体" w:hAnsi="宋体" w:eastAsia="宋体" w:cs="宋体"/>
          <w:b w:val="0"/>
          <w:bCs/>
          <w:sz w:val="21"/>
          <w:szCs w:val="21"/>
        </w:rPr>
      </w:pPr>
    </w:p>
    <w:p>
      <w:pPr>
        <w:rPr>
          <w:rFonts w:hint="eastAsia" w:ascii="宋体" w:hAnsi="宋体" w:eastAsia="宋体" w:cs="宋体"/>
          <w:b w:val="0"/>
          <w:bCs/>
          <w:sz w:val="21"/>
          <w:szCs w:val="21"/>
        </w:rPr>
      </w:pPr>
      <w:r>
        <w:rPr>
          <w:rFonts w:hint="eastAsia" w:ascii="宋体" w:hAnsi="宋体" w:eastAsia="宋体" w:cs="宋体"/>
          <w:b/>
          <w:bCs w:val="0"/>
          <w:sz w:val="21"/>
          <w:szCs w:val="21"/>
          <w:lang w:val="en-US" w:eastAsia="zh-CN"/>
        </w:rPr>
        <w:t>十</w:t>
      </w:r>
      <w:r>
        <w:rPr>
          <w:rFonts w:hint="eastAsia" w:ascii="宋体" w:hAnsi="宋体" w:eastAsia="宋体" w:cs="宋体"/>
          <w:b/>
          <w:bCs w:val="0"/>
          <w:sz w:val="21"/>
          <w:szCs w:val="21"/>
        </w:rPr>
        <w:t xml:space="preserve">、反贪污条款   </w:t>
      </w:r>
      <w:r>
        <w:rPr>
          <w:rFonts w:hint="eastAsia" w:ascii="宋体" w:hAnsi="宋体" w:eastAsia="宋体" w:cs="宋体"/>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宋体" w:hAnsi="宋体" w:eastAsia="宋体" w:cs="宋体"/>
          <w:b w:val="0"/>
          <w:bCs/>
          <w:sz w:val="21"/>
          <w:szCs w:val="21"/>
        </w:rPr>
      </w:pPr>
    </w:p>
    <w:p>
      <w:pPr>
        <w:rPr>
          <w:rFonts w:hint="eastAsia" w:ascii="宋体" w:hAnsi="宋体" w:eastAsia="宋体" w:cs="宋体"/>
          <w:b/>
          <w:bCs w:val="0"/>
          <w:sz w:val="21"/>
          <w:szCs w:val="21"/>
        </w:rPr>
      </w:pPr>
      <w:r>
        <w:rPr>
          <w:rFonts w:hint="eastAsia" w:ascii="宋体" w:hAnsi="宋体" w:eastAsia="宋体" w:cs="宋体"/>
          <w:b/>
          <w:bCs w:val="0"/>
          <w:sz w:val="21"/>
          <w:szCs w:val="21"/>
        </w:rPr>
        <w:t>十</w:t>
      </w:r>
      <w:r>
        <w:rPr>
          <w:rFonts w:hint="eastAsia" w:ascii="宋体" w:hAnsi="宋体" w:eastAsia="宋体" w:cs="宋体"/>
          <w:b/>
          <w:bCs w:val="0"/>
          <w:sz w:val="21"/>
          <w:szCs w:val="21"/>
          <w:lang w:val="en-US" w:eastAsia="zh-CN"/>
        </w:rPr>
        <w:t>一</w:t>
      </w:r>
      <w:r>
        <w:rPr>
          <w:rFonts w:hint="eastAsia" w:ascii="宋体" w:hAnsi="宋体" w:eastAsia="宋体" w:cs="宋体"/>
          <w:b/>
          <w:bCs w:val="0"/>
          <w:sz w:val="21"/>
          <w:szCs w:val="21"/>
        </w:rPr>
        <w:t>、其它约定事项</w:t>
      </w:r>
    </w:p>
    <w:p>
      <w:pP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 xml:space="preserve">  （一</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本合同一式四份，供需双方各执两份</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经合同双方法定代表人或其委托代理人签字并加盖公章或合同章后生效；</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如</w:t>
      </w:r>
      <w:r>
        <w:rPr>
          <w:rFonts w:hint="eastAsia" w:ascii="宋体" w:hAnsi="宋体" w:eastAsia="宋体" w:cs="宋体"/>
          <w:b w:val="0"/>
          <w:bCs/>
          <w:sz w:val="21"/>
          <w:szCs w:val="21"/>
        </w:rPr>
        <w:t>另有约定</w:t>
      </w:r>
      <w:r>
        <w:rPr>
          <w:rFonts w:hint="eastAsia" w:ascii="宋体" w:hAnsi="宋体" w:eastAsia="宋体" w:cs="宋体"/>
          <w:b w:val="0"/>
          <w:bCs/>
          <w:sz w:val="21"/>
          <w:szCs w:val="21"/>
          <w:lang w:val="en-US" w:eastAsia="zh-CN"/>
        </w:rPr>
        <w:t>可作为补充协议</w:t>
      </w:r>
      <w:r>
        <w:rPr>
          <w:rFonts w:hint="eastAsia" w:ascii="宋体" w:hAnsi="宋体" w:eastAsia="宋体" w:cs="宋体"/>
          <w:b w:val="0"/>
          <w:bCs/>
          <w:sz w:val="21"/>
          <w:szCs w:val="21"/>
        </w:rPr>
        <w:t>由双方签字盖章后生效。</w:t>
      </w:r>
    </w:p>
    <w:p>
      <w:pPr>
        <w:pStyle w:val="2"/>
        <w:ind w:firstLine="210" w:firstLineChars="100"/>
        <w:rPr>
          <w:rFonts w:hint="eastAsia" w:eastAsia="宋体"/>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）本合同履行过程中如发生争议，双方应友好协商，</w:t>
      </w:r>
      <w:r>
        <w:rPr>
          <w:rFonts w:hint="eastAsia" w:ascii="宋体" w:hAnsi="宋体" w:eastAsia="宋体" w:cs="宋体"/>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hint="eastAsia"/>
          <w:szCs w:val="21"/>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jc w:val="both"/>
        <w:textAlignment w:val="baseline"/>
        <w:rPr>
          <w:rFonts w:hint="eastAsia" w:ascii="楷体" w:hAnsi="楷体" w:eastAsia="楷体" w:cs="Times New Roman"/>
          <w:sz w:val="28"/>
          <w:szCs w:val="28"/>
          <w:lang w:val="en-US" w:eastAsia="zh-CN"/>
        </w:rPr>
      </w:pPr>
    </w:p>
    <w:p>
      <w:pPr>
        <w:jc w:val="center"/>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干煤泥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干煤泥</w:t>
      </w:r>
    </w:p>
    <w:p>
      <w:pPr>
        <w:numPr>
          <w:ilvl w:val="0"/>
          <w:numId w:val="0"/>
        </w:numPr>
        <w:adjustRightInd w:val="0"/>
        <w:snapToGrid w:val="0"/>
        <w:ind w:leftChars="150"/>
        <w:rPr>
          <w:rFonts w:hint="eastAsia"/>
          <w:szCs w:val="21"/>
          <w:lang w:val="en-US" w:eastAsia="zh-CN"/>
        </w:rPr>
      </w:pPr>
    </w:p>
    <w:tbl>
      <w:tblPr>
        <w:tblStyle w:val="10"/>
        <w:tblpPr w:leftFromText="180" w:rightFromText="180" w:vertAnchor="text" w:horzAnchor="page" w:tblpXSpec="center" w:tblpY="247"/>
        <w:tblOverlap w:val="never"/>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797" w:type="dxa"/>
            <w:vAlign w:val="top"/>
          </w:tcPr>
          <w:p>
            <w:pPr>
              <w:jc w:val="center"/>
              <w:rPr>
                <w:rFonts w:hint="eastAsia"/>
                <w:szCs w:val="21"/>
              </w:rPr>
            </w:pPr>
            <w:r>
              <w:rPr>
                <w:rFonts w:hint="eastAsia"/>
                <w:szCs w:val="21"/>
              </w:rPr>
              <w:t>低位发热量</w:t>
            </w:r>
          </w:p>
          <w:p>
            <w:pPr>
              <w:jc w:val="center"/>
              <w:rPr>
                <w:rFonts w:hint="eastAsia"/>
                <w:szCs w:val="21"/>
              </w:rPr>
            </w:pPr>
          </w:p>
        </w:tc>
        <w:tc>
          <w:tcPr>
            <w:tcW w:w="1247" w:type="dxa"/>
            <w:vAlign w:val="top"/>
          </w:tcPr>
          <w:p>
            <w:pPr>
              <w:jc w:val="center"/>
              <w:rPr>
                <w:rFonts w:hint="eastAsia"/>
                <w:szCs w:val="21"/>
              </w:rPr>
            </w:pPr>
            <w:r>
              <w:rPr>
                <w:rFonts w:hint="eastAsia"/>
                <w:szCs w:val="21"/>
              </w:rPr>
              <w:t>挥发份</w:t>
            </w:r>
          </w:p>
          <w:p>
            <w:pPr>
              <w:jc w:val="center"/>
              <w:rPr>
                <w:rFonts w:hint="eastAsia"/>
                <w:szCs w:val="21"/>
              </w:rPr>
            </w:pPr>
          </w:p>
        </w:tc>
        <w:tc>
          <w:tcPr>
            <w:tcW w:w="1229" w:type="dxa"/>
            <w:vAlign w:val="top"/>
          </w:tcPr>
          <w:p>
            <w:pPr>
              <w:jc w:val="center"/>
              <w:rPr>
                <w:rFonts w:hint="eastAsia"/>
                <w:szCs w:val="21"/>
              </w:rPr>
            </w:pPr>
            <w:r>
              <w:rPr>
                <w:rFonts w:hint="eastAsia"/>
                <w:szCs w:val="21"/>
              </w:rPr>
              <w:t>全硫</w:t>
            </w:r>
          </w:p>
          <w:p>
            <w:pPr>
              <w:jc w:val="center"/>
              <w:rPr>
                <w:rFonts w:hint="eastAsia"/>
                <w:szCs w:val="21"/>
              </w:rPr>
            </w:pPr>
          </w:p>
        </w:tc>
        <w:tc>
          <w:tcPr>
            <w:tcW w:w="1522" w:type="dxa"/>
            <w:vAlign w:val="top"/>
          </w:tcPr>
          <w:p>
            <w:pPr>
              <w:jc w:val="center"/>
              <w:rPr>
                <w:rFonts w:hint="eastAsia"/>
                <w:szCs w:val="21"/>
              </w:rPr>
            </w:pPr>
            <w:r>
              <w:rPr>
                <w:rFonts w:hint="eastAsia"/>
                <w:szCs w:val="21"/>
              </w:rPr>
              <w:t>全水份</w:t>
            </w:r>
          </w:p>
          <w:p>
            <w:pPr>
              <w:jc w:val="center"/>
              <w:rPr>
                <w:rFonts w:hint="eastAsia"/>
                <w:szCs w:val="21"/>
              </w:rPr>
            </w:pPr>
          </w:p>
        </w:tc>
        <w:tc>
          <w:tcPr>
            <w:tcW w:w="1320" w:type="dxa"/>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302" w:type="dxa"/>
            <w:vAlign w:val="top"/>
          </w:tcPr>
          <w:p>
            <w:pPr>
              <w:jc w:val="center"/>
              <w:rPr>
                <w:rFonts w:hint="default" w:eastAsiaTheme="minorEastAsia"/>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1797" w:type="dxa"/>
            <w:vAlign w:val="center"/>
          </w:tcPr>
          <w:p>
            <w:pPr>
              <w:jc w:val="center"/>
              <w:rPr>
                <w:rFonts w:hint="eastAsia"/>
                <w:szCs w:val="21"/>
              </w:rPr>
            </w:pPr>
            <w:r>
              <w:rPr>
                <w:rFonts w:hint="eastAsia" w:ascii="楷体" w:hAnsi="楷体" w:eastAsia="楷体"/>
                <w:color w:val="FF0000"/>
                <w:kern w:val="0"/>
                <w:sz w:val="28"/>
                <w:szCs w:val="28"/>
                <w:highlight w:val="none"/>
              </w:rPr>
              <w:t>≥3</w:t>
            </w:r>
            <w:r>
              <w:rPr>
                <w:rFonts w:hint="eastAsia" w:ascii="楷体" w:hAnsi="楷体" w:eastAsia="楷体"/>
                <w:color w:val="FF0000"/>
                <w:kern w:val="0"/>
                <w:sz w:val="28"/>
                <w:szCs w:val="28"/>
                <w:highlight w:val="none"/>
                <w:lang w:val="en-US" w:eastAsia="zh-CN"/>
              </w:rPr>
              <w:t>0</w:t>
            </w:r>
            <w:r>
              <w:rPr>
                <w:rFonts w:hint="eastAsia" w:ascii="楷体" w:hAnsi="楷体" w:eastAsia="楷体"/>
                <w:color w:val="FF0000"/>
                <w:kern w:val="0"/>
                <w:sz w:val="28"/>
                <w:szCs w:val="28"/>
                <w:highlight w:val="none"/>
              </w:rPr>
              <w:t>00Kcal/kg</w:t>
            </w:r>
          </w:p>
        </w:tc>
        <w:tc>
          <w:tcPr>
            <w:tcW w:w="1247" w:type="dxa"/>
            <w:vAlign w:val="center"/>
          </w:tcPr>
          <w:p>
            <w:pPr>
              <w:jc w:val="both"/>
              <w:rPr>
                <w:rFonts w:hint="default" w:eastAsia="宋体"/>
                <w:szCs w:val="21"/>
                <w:lang w:val="en-US" w:eastAsia="zh-CN"/>
              </w:rPr>
            </w:pPr>
            <w:r>
              <w:rPr>
                <w:rFonts w:hint="eastAsia" w:ascii="楷体" w:hAnsi="楷体" w:eastAsia="楷体"/>
                <w:color w:val="FF0000"/>
                <w:kern w:val="0"/>
                <w:sz w:val="28"/>
                <w:szCs w:val="28"/>
              </w:rPr>
              <w:t>≥17%</w:t>
            </w:r>
          </w:p>
        </w:tc>
        <w:tc>
          <w:tcPr>
            <w:tcW w:w="1229" w:type="dxa"/>
            <w:vAlign w:val="center"/>
          </w:tcPr>
          <w:p>
            <w:pPr>
              <w:jc w:val="center"/>
              <w:rPr>
                <w:rFonts w:hint="default"/>
                <w:szCs w:val="21"/>
                <w:lang w:val="en-US" w:eastAsia="zh-CN"/>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c>
          <w:tcPr>
            <w:tcW w:w="1522" w:type="dxa"/>
            <w:vAlign w:val="center"/>
          </w:tcPr>
          <w:p>
            <w:pPr>
              <w:jc w:val="center"/>
              <w:rPr>
                <w:rFonts w:hint="eastAsia"/>
                <w:szCs w:val="21"/>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14</w:t>
            </w:r>
            <w:r>
              <w:rPr>
                <w:rFonts w:hint="eastAsia" w:ascii="楷体" w:hAnsi="楷体" w:eastAsia="楷体"/>
                <w:color w:val="FF0000"/>
                <w:kern w:val="0"/>
                <w:sz w:val="28"/>
                <w:szCs w:val="28"/>
              </w:rPr>
              <w:t>%</w:t>
            </w:r>
          </w:p>
        </w:tc>
        <w:tc>
          <w:tcPr>
            <w:tcW w:w="1320" w:type="dxa"/>
            <w:vAlign w:val="center"/>
          </w:tcPr>
          <w:p>
            <w:pPr>
              <w:spacing w:line="440" w:lineRule="exact"/>
              <w:jc w:val="center"/>
              <w:rPr>
                <w:rFonts w:hint="default"/>
                <w:szCs w:val="21"/>
                <w:lang w:val="en-US" w:eastAsia="zh-CN"/>
              </w:rPr>
            </w:pPr>
            <w:r>
              <w:rPr>
                <w:rFonts w:hint="eastAsia"/>
                <w:szCs w:val="21"/>
                <w:lang w:val="en-US" w:eastAsia="zh-CN"/>
              </w:rPr>
              <w:t>/</w:t>
            </w:r>
          </w:p>
        </w:tc>
        <w:tc>
          <w:tcPr>
            <w:tcW w:w="1302" w:type="dxa"/>
            <w:vAlign w:val="center"/>
          </w:tcPr>
          <w:p>
            <w:pPr>
              <w:jc w:val="center"/>
              <w:rPr>
                <w:rFonts w:hint="eastAsia" w:eastAsia="宋体"/>
                <w:szCs w:val="21"/>
                <w:lang w:eastAsia="zh-CN"/>
              </w:rPr>
            </w:pPr>
            <w:r>
              <w:rPr>
                <w:rFonts w:hint="eastAsia" w:ascii="楷体" w:hAnsi="楷体" w:eastAsia="楷体"/>
                <w:color w:val="FF0000"/>
                <w:kern w:val="0"/>
                <w:sz w:val="28"/>
                <w:szCs w:val="28"/>
              </w:rPr>
              <w:t>≤45%</w:t>
            </w:r>
          </w:p>
        </w:tc>
        <w:tc>
          <w:tcPr>
            <w:tcW w:w="1302" w:type="dxa"/>
            <w:vAlign w:val="center"/>
          </w:tcPr>
          <w:p>
            <w:pPr>
              <w:jc w:val="center"/>
              <w:rPr>
                <w:rFonts w:hint="eastAsia" w:eastAsia="宋体"/>
                <w:szCs w:val="21"/>
                <w:lang w:eastAsia="zh-CN"/>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4</w:t>
            </w:r>
          </w:p>
        </w:tc>
      </w:tr>
    </w:tbl>
    <w:p>
      <w:pPr>
        <w:adjustRightInd w:val="0"/>
        <w:snapToGrid w:val="0"/>
        <w:ind w:left="180" w:firstLine="316" w:firstLineChars="150"/>
        <w:rPr>
          <w:rFonts w:hint="eastAsia"/>
          <w:b/>
          <w:bCs/>
          <w:szCs w:val="21"/>
        </w:rPr>
      </w:pPr>
      <w:r>
        <w:rPr>
          <w:rFonts w:hint="eastAsia"/>
          <w:b/>
          <w:bCs/>
          <w:szCs w:val="21"/>
        </w:rPr>
        <w:t>二、质量指标要求</w:t>
      </w:r>
    </w:p>
    <w:p>
      <w:pPr>
        <w:numPr>
          <w:ilvl w:val="0"/>
          <w:numId w:val="0"/>
        </w:numPr>
        <w:adjustRightInd w:val="0"/>
        <w:snapToGrid w:val="0"/>
        <w:ind w:leftChars="150"/>
        <w:rPr>
          <w:rFonts w:hint="eastAsia"/>
          <w:szCs w:val="21"/>
        </w:rPr>
      </w:pPr>
    </w:p>
    <w:p>
      <w:pPr>
        <w:numPr>
          <w:ilvl w:val="0"/>
          <w:numId w:val="0"/>
        </w:numPr>
        <w:adjustRightInd w:val="0"/>
        <w:snapToGrid w:val="0"/>
        <w:ind w:left="420" w:leftChars="0"/>
        <w:rPr>
          <w:rFonts w:hint="eastAsia"/>
          <w:b/>
          <w:bCs/>
          <w:szCs w:val="21"/>
        </w:rPr>
      </w:pPr>
      <w:r>
        <w:rPr>
          <w:rFonts w:hint="eastAsia"/>
          <w:b/>
          <w:bCs/>
          <w:szCs w:val="21"/>
          <w:lang w:val="en-US" w:eastAsia="zh-CN"/>
        </w:rPr>
        <w:t>三、</w:t>
      </w: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±5％以内</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szCs w:val="21"/>
          <w:lang w:val="en-US" w:eastAsia="zh-CN"/>
        </w:rPr>
      </w:pPr>
      <w:r>
        <w:rPr>
          <w:rFonts w:hint="eastAsia"/>
          <w:szCs w:val="21"/>
          <w:lang w:val="en-US" w:eastAsia="zh-CN"/>
        </w:rPr>
        <w:t>1、干煤泥收到基低位发热量在</w:t>
      </w:r>
      <w:r>
        <w:rPr>
          <w:rFonts w:hint="eastAsia"/>
          <w:szCs w:val="21"/>
          <w:u w:val="single"/>
          <w:lang w:val="en-US" w:eastAsia="zh-CN"/>
        </w:rPr>
        <w:t xml:space="preserve"> Q </w:t>
      </w:r>
      <w:r>
        <w:rPr>
          <w:rFonts w:hint="eastAsia"/>
          <w:szCs w:val="21"/>
          <w:lang w:val="en-US" w:eastAsia="zh-CN"/>
        </w:rPr>
        <w:t>Kcal/Kg（含）以上时，按每大卡( 基准价/Q）元结算。</w:t>
      </w:r>
    </w:p>
    <w:p>
      <w:pPr>
        <w:ind w:firstLine="420" w:firstLineChars="200"/>
        <w:rPr>
          <w:rFonts w:hint="eastAsia"/>
          <w:szCs w:val="21"/>
          <w:lang w:val="en-US" w:eastAsia="zh-CN"/>
        </w:rPr>
      </w:pPr>
      <w:r>
        <w:rPr>
          <w:rFonts w:hint="eastAsia"/>
          <w:szCs w:val="21"/>
          <w:lang w:val="en-US" w:eastAsia="zh-CN"/>
        </w:rPr>
        <w:t>2．干煤泥收到基低位发热量在</w:t>
      </w:r>
      <w:r>
        <w:rPr>
          <w:rFonts w:hint="eastAsia"/>
          <w:szCs w:val="21"/>
          <w:u w:val="single"/>
          <w:lang w:val="en-US" w:eastAsia="zh-CN"/>
        </w:rPr>
        <w:t>Q-200</w:t>
      </w:r>
      <w:r>
        <w:rPr>
          <w:rFonts w:hint="eastAsia"/>
          <w:szCs w:val="21"/>
          <w:lang w:val="en-US" w:eastAsia="zh-CN"/>
        </w:rPr>
        <w:t xml:space="preserve"> Kcal/Kg（含）至</w:t>
      </w:r>
      <w:r>
        <w:rPr>
          <w:rFonts w:hint="eastAsia"/>
          <w:szCs w:val="21"/>
          <w:u w:val="single"/>
          <w:lang w:val="en-US" w:eastAsia="zh-CN"/>
        </w:rPr>
        <w:t xml:space="preserve">  Q  </w:t>
      </w:r>
      <w:r>
        <w:rPr>
          <w:rFonts w:hint="eastAsia"/>
          <w:szCs w:val="21"/>
          <w:lang w:val="en-US" w:eastAsia="zh-CN"/>
        </w:rPr>
        <w:t>Kcal/Kg之间时，按每大卡(基准价/Q-0.004) 元结算。</w:t>
      </w:r>
    </w:p>
    <w:p>
      <w:pPr>
        <w:ind w:firstLine="420" w:firstLineChars="200"/>
        <w:rPr>
          <w:rFonts w:hint="eastAsia"/>
          <w:szCs w:val="21"/>
          <w:lang w:val="en-US" w:eastAsia="zh-CN"/>
        </w:rPr>
      </w:pPr>
      <w:r>
        <w:rPr>
          <w:rFonts w:hint="eastAsia"/>
          <w:szCs w:val="21"/>
          <w:lang w:val="en-US" w:eastAsia="zh-CN"/>
        </w:rPr>
        <w:t>3、干煤泥收到基低位发热量低于</w:t>
      </w:r>
      <w:r>
        <w:rPr>
          <w:rFonts w:hint="eastAsia"/>
          <w:szCs w:val="21"/>
          <w:u w:val="single"/>
          <w:lang w:val="en-US" w:eastAsia="zh-CN"/>
        </w:rPr>
        <w:t>Q-200</w:t>
      </w:r>
      <w:r>
        <w:rPr>
          <w:rFonts w:hint="eastAsia"/>
          <w:szCs w:val="21"/>
          <w:lang w:val="en-US" w:eastAsia="zh-CN"/>
        </w:rPr>
        <w:t xml:space="preserve"> Kcal/Kg时，需方有权拒收低硫烟煤。</w:t>
      </w:r>
    </w:p>
    <w:p>
      <w:pPr>
        <w:ind w:firstLine="420" w:firstLineChars="200"/>
        <w:rPr>
          <w:rFonts w:hint="default"/>
          <w:szCs w:val="21"/>
          <w:lang w:val="en-US" w:eastAsia="zh-CN"/>
        </w:rPr>
      </w:pPr>
      <w:r>
        <w:rPr>
          <w:rFonts w:hint="eastAsia"/>
          <w:szCs w:val="21"/>
          <w:lang w:val="en-US" w:eastAsia="zh-CN"/>
        </w:rPr>
        <w:t>4、干煤泥收到基全硫在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5、干煤泥收到基全水分在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highlight w:val="yellow"/>
          <w:lang w:val="en-US" w:eastAsia="zh-CN"/>
        </w:rPr>
      </w:pPr>
      <w:r>
        <w:rPr>
          <w:rFonts w:hint="eastAsia"/>
          <w:szCs w:val="21"/>
          <w:lang w:val="en-US" w:eastAsia="zh-CN"/>
        </w:rPr>
        <w:t>6、干煤泥收到基挥发份低于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7、</w:t>
      </w:r>
      <w:r>
        <w:rPr>
          <w:rFonts w:hint="eastAsia"/>
          <w:szCs w:val="21"/>
          <w:highlight w:val="none"/>
          <w:lang w:val="en-US" w:eastAsia="zh-CN"/>
        </w:rPr>
        <w:t>干煤泥</w:t>
      </w:r>
      <w:r>
        <w:rPr>
          <w:rFonts w:hint="eastAsia"/>
          <w:color w:val="auto"/>
          <w:szCs w:val="21"/>
          <w:highlight w:val="none"/>
          <w:lang w:val="en-US" w:eastAsia="zh-CN"/>
        </w:rPr>
        <w:t>收到基灰份＞</w:t>
      </w:r>
      <w:r>
        <w:rPr>
          <w:rFonts w:hint="eastAsia"/>
          <w:szCs w:val="21"/>
          <w:highlight w:val="none"/>
          <w:u w:val="single"/>
          <w:lang w:val="en-US" w:eastAsia="zh-CN"/>
        </w:rPr>
        <w:t xml:space="preserve">X </w:t>
      </w:r>
      <w:r>
        <w:rPr>
          <w:rFonts w:hint="eastAsia"/>
          <w:szCs w:val="21"/>
          <w:highlight w:val="none"/>
          <w:lang w:val="en-US" w:eastAsia="zh-CN"/>
        </w:rPr>
        <w:t>％</w:t>
      </w:r>
      <w:r>
        <w:rPr>
          <w:rFonts w:hint="eastAsia"/>
          <w:color w:val="auto"/>
          <w:szCs w:val="21"/>
          <w:highlight w:val="none"/>
          <w:lang w:val="en-US" w:eastAsia="zh-CN"/>
        </w:rPr>
        <w:t>时，按每高 1%扣4元/吨结算，不足1%按比例计算。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8、</w:t>
      </w:r>
      <w:r>
        <w:rPr>
          <w:rFonts w:hint="eastAsia"/>
          <w:szCs w:val="21"/>
          <w:highlight w:val="none"/>
          <w:lang w:val="en-US" w:eastAsia="zh-CN"/>
        </w:rPr>
        <w:t>干煤泥</w:t>
      </w:r>
      <w:r>
        <w:rPr>
          <w:rFonts w:hint="eastAsia"/>
          <w:color w:val="auto"/>
          <w:szCs w:val="21"/>
          <w:highlight w:val="none"/>
          <w:lang w:val="en-US" w:eastAsia="zh-CN"/>
        </w:rPr>
        <w:t>焦渣特性超过合同指标范围时，需方有权拒收，若接收，按每偏差一个标号扣4元/吨结算。</w:t>
      </w:r>
    </w:p>
    <w:p>
      <w:pPr>
        <w:ind w:firstLine="420" w:firstLineChars="200"/>
        <w:rPr>
          <w:rFonts w:hint="default"/>
          <w:color w:val="auto"/>
          <w:szCs w:val="21"/>
          <w:highlight w:val="none"/>
          <w:lang w:val="en-US" w:eastAsia="zh-CN"/>
        </w:rPr>
      </w:pPr>
      <w:r>
        <w:rPr>
          <w:rFonts w:hint="eastAsia"/>
          <w:color w:val="auto"/>
          <w:szCs w:val="21"/>
          <w:highlight w:val="none"/>
          <w:lang w:val="en-US" w:eastAsia="zh-CN"/>
        </w:rPr>
        <w:t>9、</w:t>
      </w:r>
      <w:r>
        <w:rPr>
          <w:rFonts w:hint="eastAsia"/>
          <w:color w:val="auto"/>
          <w:szCs w:val="21"/>
          <w:highlight w:val="yellow"/>
          <w:lang w:val="en-US" w:eastAsia="zh-CN"/>
        </w:rPr>
        <w:t>若单船煤炭</w:t>
      </w:r>
      <w:r>
        <w:rPr>
          <w:rFonts w:hint="eastAsia"/>
          <w:szCs w:val="21"/>
          <w:highlight w:val="yellow"/>
        </w:rPr>
        <w:t>低位发热量</w:t>
      </w:r>
      <w:r>
        <w:rPr>
          <w:rFonts w:hint="eastAsia"/>
          <w:szCs w:val="21"/>
          <w:highlight w:val="yellow"/>
          <w:lang w:val="en-US" w:eastAsia="zh-CN"/>
        </w:rPr>
        <w:t>低于2800</w:t>
      </w:r>
      <w:r>
        <w:rPr>
          <w:rFonts w:hint="eastAsia"/>
          <w:szCs w:val="21"/>
          <w:highlight w:val="yellow"/>
        </w:rPr>
        <w:t>kcal/kg</w:t>
      </w:r>
      <w:r>
        <w:rPr>
          <w:rFonts w:hint="eastAsia"/>
          <w:szCs w:val="21"/>
          <w:highlight w:val="yellow"/>
          <w:lang w:eastAsia="zh-CN"/>
        </w:rPr>
        <w:t>，</w:t>
      </w:r>
      <w:r>
        <w:rPr>
          <w:rFonts w:hint="eastAsia"/>
          <w:szCs w:val="21"/>
          <w:highlight w:val="yellow"/>
        </w:rPr>
        <w:t>全硫</w:t>
      </w:r>
      <w:r>
        <w:rPr>
          <w:rFonts w:hint="eastAsia"/>
          <w:szCs w:val="21"/>
          <w:highlight w:val="yellow"/>
          <w:lang w:val="en-US" w:eastAsia="zh-CN"/>
        </w:rPr>
        <w:t>高于1.0</w:t>
      </w:r>
      <w:r>
        <w:rPr>
          <w:rFonts w:hint="eastAsia" w:eastAsia="宋体" w:cs="Times New Roman"/>
          <w:color w:val="auto"/>
          <w:szCs w:val="21"/>
          <w:highlight w:val="yellow"/>
          <w:lang w:val="en-US" w:eastAsia="zh-CN"/>
        </w:rPr>
        <w:t>%，全水高于15%，灰分高于46%，焦渣特性高于4，需方有权拒收或此</w:t>
      </w:r>
      <w:r>
        <w:rPr>
          <w:rFonts w:hint="eastAsia"/>
          <w:color w:val="auto"/>
          <w:szCs w:val="21"/>
          <w:highlight w:val="yellow"/>
          <w:lang w:val="en-US" w:eastAsia="zh-CN"/>
        </w:rPr>
        <w:t>单船</w:t>
      </w:r>
      <w:r>
        <w:rPr>
          <w:rFonts w:hint="eastAsia" w:eastAsia="宋体" w:cs="Times New Roman"/>
          <w:color w:val="auto"/>
          <w:szCs w:val="21"/>
          <w:highlight w:val="yellow"/>
          <w:lang w:val="en-US" w:eastAsia="zh-CN"/>
        </w:rPr>
        <w:t>按合同指标加扣。单船扣减价格接收后，仍计入本批次总量进行计算平均指标。</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10、若发现某批次有石块，根据实际情况随机抽取（车拉过磅），按石块占比进行扣减：</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石块/（煤炭+石头过磅吨位）0.1‰～0.5‰（含），扣除此批次吨位1‰。</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石块/（煤炭+石头过磅吨位）0.5‰～1‰（含），扣除此批次吨位2‰。</w:t>
      </w:r>
    </w:p>
    <w:p>
      <w:pPr>
        <w:ind w:firstLine="420" w:firstLineChars="200"/>
        <w:rPr>
          <w:rFonts w:hint="default"/>
          <w:color w:val="auto"/>
          <w:szCs w:val="21"/>
          <w:highlight w:val="none"/>
          <w:lang w:val="en-US" w:eastAsia="zh-CN"/>
        </w:rPr>
      </w:pPr>
      <w:r>
        <w:rPr>
          <w:rFonts w:hint="eastAsia"/>
          <w:color w:val="auto"/>
          <w:szCs w:val="21"/>
          <w:highlight w:val="none"/>
          <w:lang w:val="en-US" w:eastAsia="zh-CN"/>
        </w:rPr>
        <w:t>石块/（煤炭+石头过磅吨位）＞1‰，拒收。</w:t>
      </w:r>
    </w:p>
    <w:p>
      <w:pPr>
        <w:numPr>
          <w:ilvl w:val="0"/>
          <w:numId w:val="0"/>
        </w:numPr>
        <w:adjustRightInd w:val="0"/>
        <w:snapToGrid w:val="0"/>
        <w:ind w:left="420" w:leftChars="0"/>
        <w:rPr>
          <w:rFonts w:hint="eastAsia"/>
          <w:color w:val="FF0000"/>
          <w:szCs w:val="21"/>
          <w:lang w:val="en-US" w:eastAsia="zh-CN"/>
        </w:rPr>
      </w:pPr>
      <w:r>
        <w:rPr>
          <w:rFonts w:hint="eastAsia"/>
          <w:color w:val="FF0000"/>
          <w:szCs w:val="21"/>
          <w:lang w:val="en-US" w:eastAsia="zh-CN"/>
        </w:rPr>
        <w:t>11、若交货时间超过本合同约定到货时间3天及以内抵达交货地点的，单价下降5元/吨结算；若交货时间超过合同约定3天以上的，需方有权拒收。若需方同意接收，基准单价下降（ 0.0005 元/大卡*延期天数）结算（非供方及不可抗力因素除外）。</w:t>
      </w:r>
    </w:p>
    <w:p>
      <w:pPr>
        <w:numPr>
          <w:ilvl w:val="0"/>
          <w:numId w:val="0"/>
        </w:numPr>
        <w:adjustRightInd w:val="0"/>
        <w:snapToGrid w:val="0"/>
        <w:ind w:left="420" w:leftChars="0"/>
        <w:rPr>
          <w:rFonts w:hint="eastAsia"/>
          <w:color w:val="FF0000"/>
          <w:szCs w:val="21"/>
          <w:lang w:val="en-US" w:eastAsia="zh-CN"/>
        </w:rPr>
      </w:pPr>
      <w:bookmarkStart w:id="0" w:name="_GoBack"/>
      <w:bookmarkEnd w:id="0"/>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w:t>
      </w:r>
      <w:r>
        <w:rPr>
          <w:rFonts w:hint="eastAsia" w:asciiTheme="minorEastAsia" w:hAnsiTheme="minorEastAsia" w:cstheme="minorEastAsia"/>
          <w:b w:val="0"/>
          <w:bCs/>
          <w:sz w:val="21"/>
          <w:szCs w:val="21"/>
          <w:lang w:val="en-US"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eastAsia" w:eastAsia="宋体"/>
          <w:szCs w:val="20"/>
          <w:lang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asciiTheme="minorEastAsia" w:hAnsiTheme="minorEastAsia" w:cstheme="minorEastAsia"/>
          <w:b w:val="0"/>
          <w:bCs/>
          <w:sz w:val="21"/>
          <w:szCs w:val="21"/>
          <w:highlight w:val="yellow"/>
          <w:lang w:val="en-US" w:eastAsia="zh-CN"/>
        </w:rPr>
        <w:t>（除收到基全水分以需方化验结果为准</w:t>
      </w:r>
      <w:r>
        <w:rPr>
          <w:rFonts w:hint="eastAsia" w:asciiTheme="minorEastAsia" w:hAnsi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p>
    <w:p>
      <w:pPr>
        <w:jc w:val="both"/>
        <w:rPr>
          <w:rFonts w:hint="default" w:eastAsia="宋体"/>
          <w:szCs w:val="20"/>
          <w:lang w:val="en-US" w:eastAsia="zh-CN"/>
        </w:rPr>
      </w:pP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50大卡</w:t>
      </w:r>
      <w:r>
        <w:rPr>
          <w:rFonts w:hint="eastAsia"/>
          <w:szCs w:val="20"/>
          <w:u w:val="single"/>
          <w:lang w:val="en-US" w:eastAsia="zh-CN"/>
        </w:rPr>
        <w:t xml:space="preserve">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u w:val="single"/>
          <w:lang w:val="en-US" w:eastAsia="zh-CN"/>
        </w:rPr>
        <w:t xml:space="preserve"> </w:t>
      </w:r>
      <w:r>
        <w:rPr>
          <w:rFonts w:hint="eastAsia"/>
          <w:szCs w:val="20"/>
          <w:highlight w:val="yellow"/>
          <w:u w:val="single"/>
          <w:lang w:val="en-US" w:eastAsia="zh-CN"/>
        </w:rPr>
        <w:t>50大卡</w:t>
      </w:r>
      <w:r>
        <w:rPr>
          <w:rFonts w:hint="eastAsia"/>
          <w:szCs w:val="20"/>
          <w:u w:val="single"/>
          <w:lang w:val="en-US" w:eastAsia="zh-CN"/>
        </w:rPr>
        <w:t xml:space="preserve">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hint="eastAsia"/>
          <w:szCs w:val="21"/>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ind w:right="720" w:firstLine="4830" w:firstLineChars="2300"/>
        <w:jc w:val="both"/>
        <w:textAlignment w:val="baseline"/>
        <w:rPr>
          <w:rFonts w:hint="eastAsia"/>
          <w:szCs w:val="21"/>
        </w:rPr>
      </w:pPr>
    </w:p>
    <w:p>
      <w:pPr>
        <w:ind w:right="720" w:firstLine="6440" w:firstLineChars="2300"/>
        <w:jc w:val="both"/>
        <w:textAlignment w:val="baseline"/>
        <w:rPr>
          <w:rFonts w:hint="default" w:ascii="楷体" w:hAnsi="楷体" w:eastAsia="楷体" w:cs="Times New Roman"/>
          <w:sz w:val="28"/>
          <w:szCs w:val="28"/>
          <w:lang w:val="en-US" w:eastAsia="zh-CN"/>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pPr>
        <w:ind w:left="-76"/>
      </w:pPr>
      <w:rPr>
        <w:rFonts w:hint="eastAsia"/>
      </w:rPr>
    </w:lvl>
  </w:abstractNum>
  <w:abstractNum w:abstractNumId="4">
    <w:nsid w:val="7749961F"/>
    <w:multiLevelType w:val="singleLevel"/>
    <w:tmpl w:val="7749961F"/>
    <w:lvl w:ilvl="0" w:tentative="0">
      <w:start w:val="1"/>
      <w:numFmt w:val="chineseCounting"/>
      <w:suff w:val="nothing"/>
      <w:lvlText w:val="%1、"/>
      <w:lvlJc w:val="left"/>
      <w:pPr>
        <w:ind w:left="134"/>
      </w:pPr>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93F2F"/>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0373D"/>
    <w:rsid w:val="01E8701B"/>
    <w:rsid w:val="02117820"/>
    <w:rsid w:val="022112DE"/>
    <w:rsid w:val="02664D97"/>
    <w:rsid w:val="02CF4378"/>
    <w:rsid w:val="03533CCF"/>
    <w:rsid w:val="03E43B84"/>
    <w:rsid w:val="040775A1"/>
    <w:rsid w:val="04082AD7"/>
    <w:rsid w:val="04982A06"/>
    <w:rsid w:val="04C34010"/>
    <w:rsid w:val="04DA1C47"/>
    <w:rsid w:val="04E16B35"/>
    <w:rsid w:val="04FB6FB3"/>
    <w:rsid w:val="0577780E"/>
    <w:rsid w:val="058745C8"/>
    <w:rsid w:val="05B125A8"/>
    <w:rsid w:val="05DA274A"/>
    <w:rsid w:val="060B263B"/>
    <w:rsid w:val="063A2CFC"/>
    <w:rsid w:val="066668C4"/>
    <w:rsid w:val="06C86BB9"/>
    <w:rsid w:val="06D71D3F"/>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41027D"/>
    <w:rsid w:val="0F662474"/>
    <w:rsid w:val="0FDB1444"/>
    <w:rsid w:val="103873B0"/>
    <w:rsid w:val="104733DE"/>
    <w:rsid w:val="105D5141"/>
    <w:rsid w:val="106870EC"/>
    <w:rsid w:val="10AE1436"/>
    <w:rsid w:val="114B6C50"/>
    <w:rsid w:val="1160273E"/>
    <w:rsid w:val="118F3344"/>
    <w:rsid w:val="12184A14"/>
    <w:rsid w:val="12433C87"/>
    <w:rsid w:val="12805A95"/>
    <w:rsid w:val="128A1D2D"/>
    <w:rsid w:val="12A21D9D"/>
    <w:rsid w:val="12C72BE9"/>
    <w:rsid w:val="12E6582E"/>
    <w:rsid w:val="132C2C6D"/>
    <w:rsid w:val="13403A29"/>
    <w:rsid w:val="13CB044D"/>
    <w:rsid w:val="13CD1F3A"/>
    <w:rsid w:val="13ED5F96"/>
    <w:rsid w:val="14116D0F"/>
    <w:rsid w:val="141A5600"/>
    <w:rsid w:val="14594666"/>
    <w:rsid w:val="1482378B"/>
    <w:rsid w:val="14C54A87"/>
    <w:rsid w:val="151321B2"/>
    <w:rsid w:val="15240B1C"/>
    <w:rsid w:val="156B15E9"/>
    <w:rsid w:val="15AE0B26"/>
    <w:rsid w:val="16414353"/>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BE44B9E"/>
    <w:rsid w:val="1C7B197F"/>
    <w:rsid w:val="1CBA6C35"/>
    <w:rsid w:val="1D016DA7"/>
    <w:rsid w:val="1DEC291A"/>
    <w:rsid w:val="1E420D07"/>
    <w:rsid w:val="1E4332AB"/>
    <w:rsid w:val="1E4E2951"/>
    <w:rsid w:val="1ECD15C3"/>
    <w:rsid w:val="1EDC274A"/>
    <w:rsid w:val="1F351AF5"/>
    <w:rsid w:val="1F3D65DF"/>
    <w:rsid w:val="1F9865B0"/>
    <w:rsid w:val="1F9B49C4"/>
    <w:rsid w:val="1FB65D8F"/>
    <w:rsid w:val="1FC23E77"/>
    <w:rsid w:val="2068504F"/>
    <w:rsid w:val="20692601"/>
    <w:rsid w:val="209A72F3"/>
    <w:rsid w:val="20CD0C9E"/>
    <w:rsid w:val="2110710D"/>
    <w:rsid w:val="21667763"/>
    <w:rsid w:val="2193373C"/>
    <w:rsid w:val="22366949"/>
    <w:rsid w:val="226B4AFD"/>
    <w:rsid w:val="229D3643"/>
    <w:rsid w:val="22A10541"/>
    <w:rsid w:val="22E313B5"/>
    <w:rsid w:val="22F57FBF"/>
    <w:rsid w:val="2308035C"/>
    <w:rsid w:val="23084FA2"/>
    <w:rsid w:val="233D47E1"/>
    <w:rsid w:val="23C62DA2"/>
    <w:rsid w:val="23DB27AB"/>
    <w:rsid w:val="23E81A8A"/>
    <w:rsid w:val="24104196"/>
    <w:rsid w:val="24526400"/>
    <w:rsid w:val="24575371"/>
    <w:rsid w:val="245C00D7"/>
    <w:rsid w:val="2470159B"/>
    <w:rsid w:val="249C5995"/>
    <w:rsid w:val="25003401"/>
    <w:rsid w:val="25280DBD"/>
    <w:rsid w:val="25317C88"/>
    <w:rsid w:val="25476869"/>
    <w:rsid w:val="25657F20"/>
    <w:rsid w:val="25774A7E"/>
    <w:rsid w:val="25A815FF"/>
    <w:rsid w:val="25B032A3"/>
    <w:rsid w:val="25DA2FE7"/>
    <w:rsid w:val="260623C8"/>
    <w:rsid w:val="267F2267"/>
    <w:rsid w:val="273347B2"/>
    <w:rsid w:val="273C0056"/>
    <w:rsid w:val="274909AB"/>
    <w:rsid w:val="2750728E"/>
    <w:rsid w:val="27C67D3B"/>
    <w:rsid w:val="27CF1BDA"/>
    <w:rsid w:val="27FA4409"/>
    <w:rsid w:val="28B31819"/>
    <w:rsid w:val="29355729"/>
    <w:rsid w:val="295E23A1"/>
    <w:rsid w:val="295F2F3D"/>
    <w:rsid w:val="296C4AEF"/>
    <w:rsid w:val="29E95B1E"/>
    <w:rsid w:val="2A0F0353"/>
    <w:rsid w:val="2A1E29FD"/>
    <w:rsid w:val="2A32629F"/>
    <w:rsid w:val="2A6828B6"/>
    <w:rsid w:val="2AC11E6B"/>
    <w:rsid w:val="2ACB4E59"/>
    <w:rsid w:val="2ADC0750"/>
    <w:rsid w:val="2AF225E3"/>
    <w:rsid w:val="2B433BCA"/>
    <w:rsid w:val="2BD76A9C"/>
    <w:rsid w:val="2BFA18E2"/>
    <w:rsid w:val="2C377514"/>
    <w:rsid w:val="2C3A1B18"/>
    <w:rsid w:val="2C6958D3"/>
    <w:rsid w:val="2D472502"/>
    <w:rsid w:val="2DDD2352"/>
    <w:rsid w:val="2E224612"/>
    <w:rsid w:val="2E282DCC"/>
    <w:rsid w:val="2E311A54"/>
    <w:rsid w:val="2E4849F0"/>
    <w:rsid w:val="2E6D240E"/>
    <w:rsid w:val="2F1D7CA8"/>
    <w:rsid w:val="2F8232CF"/>
    <w:rsid w:val="2F8C4439"/>
    <w:rsid w:val="305A2ACD"/>
    <w:rsid w:val="30B00320"/>
    <w:rsid w:val="30CF024E"/>
    <w:rsid w:val="31140915"/>
    <w:rsid w:val="313A3766"/>
    <w:rsid w:val="317E37D4"/>
    <w:rsid w:val="318140BC"/>
    <w:rsid w:val="31A3002B"/>
    <w:rsid w:val="31C71A3E"/>
    <w:rsid w:val="32485E9F"/>
    <w:rsid w:val="33741899"/>
    <w:rsid w:val="337A38C3"/>
    <w:rsid w:val="344D49DC"/>
    <w:rsid w:val="347342F2"/>
    <w:rsid w:val="356261BF"/>
    <w:rsid w:val="35724E5E"/>
    <w:rsid w:val="35C65C66"/>
    <w:rsid w:val="35CD62BE"/>
    <w:rsid w:val="35DE4D3A"/>
    <w:rsid w:val="35F11D0F"/>
    <w:rsid w:val="35F4400B"/>
    <w:rsid w:val="360D4F0E"/>
    <w:rsid w:val="361C0D70"/>
    <w:rsid w:val="361F29FA"/>
    <w:rsid w:val="36794FEB"/>
    <w:rsid w:val="36E80AB3"/>
    <w:rsid w:val="36F365A1"/>
    <w:rsid w:val="3759485F"/>
    <w:rsid w:val="37614194"/>
    <w:rsid w:val="377E5657"/>
    <w:rsid w:val="37FE19C5"/>
    <w:rsid w:val="38076ABE"/>
    <w:rsid w:val="38344B0A"/>
    <w:rsid w:val="384733E7"/>
    <w:rsid w:val="38523F6F"/>
    <w:rsid w:val="385D7EE4"/>
    <w:rsid w:val="386F33BA"/>
    <w:rsid w:val="38A92ADF"/>
    <w:rsid w:val="38DA5989"/>
    <w:rsid w:val="390C3776"/>
    <w:rsid w:val="390E2D7F"/>
    <w:rsid w:val="39106ACC"/>
    <w:rsid w:val="39293FBF"/>
    <w:rsid w:val="39296ADF"/>
    <w:rsid w:val="395C24B0"/>
    <w:rsid w:val="39A60F53"/>
    <w:rsid w:val="39C60490"/>
    <w:rsid w:val="39D53205"/>
    <w:rsid w:val="39DD2EE5"/>
    <w:rsid w:val="39F46BBF"/>
    <w:rsid w:val="3A502507"/>
    <w:rsid w:val="3A911109"/>
    <w:rsid w:val="3A962908"/>
    <w:rsid w:val="3AAB612B"/>
    <w:rsid w:val="3AC448F0"/>
    <w:rsid w:val="3AE36A3D"/>
    <w:rsid w:val="3AF02CA6"/>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725630"/>
    <w:rsid w:val="40F03511"/>
    <w:rsid w:val="41370614"/>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3B7A56"/>
    <w:rsid w:val="434150E2"/>
    <w:rsid w:val="435922E7"/>
    <w:rsid w:val="43B349DE"/>
    <w:rsid w:val="43B45946"/>
    <w:rsid w:val="43CB4C18"/>
    <w:rsid w:val="43D36344"/>
    <w:rsid w:val="43E616C8"/>
    <w:rsid w:val="43F57F1B"/>
    <w:rsid w:val="441F28B5"/>
    <w:rsid w:val="442B0177"/>
    <w:rsid w:val="442B0F60"/>
    <w:rsid w:val="44583EE9"/>
    <w:rsid w:val="44B47FD0"/>
    <w:rsid w:val="454754C4"/>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7459FE"/>
    <w:rsid w:val="4A806DA5"/>
    <w:rsid w:val="4A8915E9"/>
    <w:rsid w:val="4ACB195C"/>
    <w:rsid w:val="4ADF5F36"/>
    <w:rsid w:val="4AE061D4"/>
    <w:rsid w:val="4B20457D"/>
    <w:rsid w:val="4B810B2B"/>
    <w:rsid w:val="4BF4008B"/>
    <w:rsid w:val="4BF50FFE"/>
    <w:rsid w:val="4BF652CB"/>
    <w:rsid w:val="4CA9787D"/>
    <w:rsid w:val="4CD868E2"/>
    <w:rsid w:val="4CEC60BF"/>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696D8B"/>
    <w:rsid w:val="50BF47D3"/>
    <w:rsid w:val="51037D77"/>
    <w:rsid w:val="51690171"/>
    <w:rsid w:val="517F7974"/>
    <w:rsid w:val="51A633CC"/>
    <w:rsid w:val="51C8065E"/>
    <w:rsid w:val="51CE3899"/>
    <w:rsid w:val="51DE5CFE"/>
    <w:rsid w:val="521F1D61"/>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770380"/>
    <w:rsid w:val="559836C7"/>
    <w:rsid w:val="56015A63"/>
    <w:rsid w:val="566E7536"/>
    <w:rsid w:val="566F2E5D"/>
    <w:rsid w:val="56B262A1"/>
    <w:rsid w:val="56E625F9"/>
    <w:rsid w:val="570C1F77"/>
    <w:rsid w:val="573C2390"/>
    <w:rsid w:val="573E4FC1"/>
    <w:rsid w:val="579E0BA7"/>
    <w:rsid w:val="57A651B0"/>
    <w:rsid w:val="58222F24"/>
    <w:rsid w:val="5855648D"/>
    <w:rsid w:val="58CC04A3"/>
    <w:rsid w:val="58F91632"/>
    <w:rsid w:val="58FD36E0"/>
    <w:rsid w:val="590D2633"/>
    <w:rsid w:val="59290CF4"/>
    <w:rsid w:val="593A38FA"/>
    <w:rsid w:val="59486EBD"/>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52EA"/>
    <w:rsid w:val="652427C9"/>
    <w:rsid w:val="657F7CA6"/>
    <w:rsid w:val="65913AB2"/>
    <w:rsid w:val="65B12981"/>
    <w:rsid w:val="65EA7496"/>
    <w:rsid w:val="66561F6D"/>
    <w:rsid w:val="66776155"/>
    <w:rsid w:val="66B44451"/>
    <w:rsid w:val="66B92037"/>
    <w:rsid w:val="675A0102"/>
    <w:rsid w:val="67601E54"/>
    <w:rsid w:val="68091D9A"/>
    <w:rsid w:val="68AC5BD9"/>
    <w:rsid w:val="68B142D8"/>
    <w:rsid w:val="68E9081D"/>
    <w:rsid w:val="690F4E44"/>
    <w:rsid w:val="696163A7"/>
    <w:rsid w:val="699161CD"/>
    <w:rsid w:val="69AA3D56"/>
    <w:rsid w:val="6A4F455D"/>
    <w:rsid w:val="6A63717F"/>
    <w:rsid w:val="6A916396"/>
    <w:rsid w:val="6A994EDC"/>
    <w:rsid w:val="6AA579D8"/>
    <w:rsid w:val="6AD817CF"/>
    <w:rsid w:val="6AEB0296"/>
    <w:rsid w:val="6AEE0C2F"/>
    <w:rsid w:val="6B1602A8"/>
    <w:rsid w:val="6B232EBE"/>
    <w:rsid w:val="6B6369D5"/>
    <w:rsid w:val="6BA411C0"/>
    <w:rsid w:val="6BBA1210"/>
    <w:rsid w:val="6C0C13C4"/>
    <w:rsid w:val="6C49185E"/>
    <w:rsid w:val="6C495018"/>
    <w:rsid w:val="6C5A1A48"/>
    <w:rsid w:val="6C877BA8"/>
    <w:rsid w:val="6D855971"/>
    <w:rsid w:val="6DF51FDA"/>
    <w:rsid w:val="6E0E486C"/>
    <w:rsid w:val="6E2C2815"/>
    <w:rsid w:val="6E473D9A"/>
    <w:rsid w:val="6E8A70E6"/>
    <w:rsid w:val="6F017FA5"/>
    <w:rsid w:val="6F122B74"/>
    <w:rsid w:val="6F9A606F"/>
    <w:rsid w:val="6FAF53B1"/>
    <w:rsid w:val="6FEB11CC"/>
    <w:rsid w:val="6FF82794"/>
    <w:rsid w:val="70281960"/>
    <w:rsid w:val="704C338C"/>
    <w:rsid w:val="708462B8"/>
    <w:rsid w:val="70BF606D"/>
    <w:rsid w:val="70CE33F4"/>
    <w:rsid w:val="70FC2D9A"/>
    <w:rsid w:val="7158016B"/>
    <w:rsid w:val="71654E5B"/>
    <w:rsid w:val="717864A4"/>
    <w:rsid w:val="719D4C57"/>
    <w:rsid w:val="7217013D"/>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6C3C49"/>
    <w:rsid w:val="76B87181"/>
    <w:rsid w:val="76BD1202"/>
    <w:rsid w:val="76EB13C0"/>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0B4B47"/>
    <w:rsid w:val="7E10358D"/>
    <w:rsid w:val="7E511B65"/>
    <w:rsid w:val="7E532D50"/>
    <w:rsid w:val="7EF43CA1"/>
    <w:rsid w:val="7F1A6B91"/>
    <w:rsid w:val="7F454F4D"/>
    <w:rsid w:val="7F6C2F0C"/>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10349</Words>
  <Characters>11032</Characters>
  <Lines>27</Lines>
  <Paragraphs>7</Paragraphs>
  <TotalTime>1</TotalTime>
  <ScaleCrop>false</ScaleCrop>
  <LinksUpToDate>false</LinksUpToDate>
  <CharactersWithSpaces>12409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筱橙子</cp:lastModifiedBy>
  <cp:lastPrinted>2022-02-17T08:08:00Z</cp:lastPrinted>
  <dcterms:modified xsi:type="dcterms:W3CDTF">2022-02-28T08:00:03Z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4D88E089027743E180AF16F5B5ABF1C6</vt:lpwstr>
  </property>
</Properties>
</file>