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w:t>
      </w:r>
      <w:r>
        <w:rPr>
          <w:rFonts w:hint="eastAsia" w:ascii="楷体" w:hAnsi="楷体" w:eastAsia="楷体" w:cs="楷体"/>
          <w:sz w:val="44"/>
          <w:szCs w:val="44"/>
          <w:lang w:eastAsia="zh-CN"/>
        </w:rPr>
        <w:t>泥</w:t>
      </w:r>
      <w:r>
        <w:rPr>
          <w:rFonts w:hint="eastAsia" w:ascii="楷体" w:hAnsi="楷体" w:eastAsia="楷体" w:cs="楷体"/>
          <w:sz w:val="44"/>
          <w:szCs w:val="44"/>
        </w:rPr>
        <w:t>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01</w:t>
      </w:r>
      <w:r>
        <w:rPr>
          <w:rFonts w:hint="eastAsia" w:ascii="楷体" w:hAnsi="楷体" w:eastAsia="楷体" w:cs="楷体"/>
          <w:sz w:val="32"/>
          <w:szCs w:val="32"/>
        </w:rPr>
        <w:t>月</w:t>
      </w:r>
      <w:r>
        <w:rPr>
          <w:rFonts w:hint="eastAsia" w:ascii="楷体" w:hAnsi="楷体" w:eastAsia="楷体" w:cs="楷体"/>
          <w:sz w:val="32"/>
          <w:szCs w:val="32"/>
          <w:lang w:val="en-US" w:eastAsia="zh-CN"/>
        </w:rPr>
        <w:t>11日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744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4"/>
        <w:gridCol w:w="2784"/>
        <w:gridCol w:w="3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784"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37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784"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37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3733"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92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784"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3733"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每月1万吨</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p>
    <w:p>
      <w:pPr>
        <w:numPr>
          <w:ilvl w:val="0"/>
          <w:numId w:val="0"/>
        </w:num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lang w:eastAsia="zh-CN"/>
        </w:rPr>
        <w:t>①</w:t>
      </w:r>
      <w:r>
        <w:rPr>
          <w:rFonts w:hint="eastAsia" w:ascii="楷体" w:hAnsi="楷体" w:eastAsia="楷体" w:cs="楷体"/>
          <w:color w:val="FF0000"/>
          <w:sz w:val="28"/>
          <w:szCs w:val="28"/>
          <w:lang w:val="en-US" w:eastAsia="zh-CN"/>
        </w:rPr>
        <w:t>本次为年度招标，洋口热电每月需求量固定为1万吨，逐月结算，</w:t>
      </w:r>
      <w:r>
        <w:rPr>
          <w:rFonts w:hint="eastAsia" w:ascii="楷体" w:hAnsi="楷体" w:eastAsia="楷体" w:cs="楷体"/>
          <w:color w:val="FF0000"/>
          <w:sz w:val="28"/>
          <w:szCs w:val="28"/>
          <w:lang w:eastAsia="zh-CN"/>
        </w:rPr>
        <w:t>每个结算周期</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w:t>
      </w:r>
      <w:r>
        <w:rPr>
          <w:rFonts w:hint="eastAsia" w:ascii="楷体" w:hAnsi="楷体" w:eastAsia="楷体" w:cs="楷体"/>
          <w:color w:val="FF0000"/>
          <w:sz w:val="28"/>
          <w:szCs w:val="28"/>
          <w:lang w:eastAsia="zh-CN"/>
        </w:rPr>
        <w:t>超出部分按照有利于需方的原则，在煤炭价格上行时，按当月价格全部结算；在煤炭价格下行时，列入下一个周期结算。</w:t>
      </w:r>
    </w:p>
    <w:p>
      <w:pPr>
        <w:numPr>
          <w:ilvl w:val="0"/>
          <w:numId w:val="0"/>
        </w:num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lang w:eastAsia="zh-CN"/>
        </w:rPr>
        <w:t>②各投标单位</w:t>
      </w:r>
      <w:r>
        <w:rPr>
          <w:rFonts w:hint="eastAsia" w:ascii="楷体" w:hAnsi="楷体" w:eastAsia="楷体" w:cs="楷体"/>
          <w:color w:val="FF0000"/>
          <w:sz w:val="28"/>
          <w:szCs w:val="28"/>
          <w:lang w:val="en-US" w:eastAsia="zh-CN"/>
        </w:rPr>
        <w:t>根据自己的生产能力，确定每月的煤泥保证供应量</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lang w:eastAsia="zh-CN"/>
        </w:rPr>
        <w:t>合同期限、</w:t>
      </w: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eastAsia="zh-CN"/>
        </w:rPr>
        <w:t>①合同期限为</w:t>
      </w:r>
      <w:r>
        <w:rPr>
          <w:rFonts w:hint="eastAsia" w:ascii="楷体" w:hAnsi="楷体" w:eastAsia="楷体" w:cs="楷体"/>
          <w:color w:val="FF0000"/>
          <w:sz w:val="28"/>
          <w:szCs w:val="28"/>
        </w:rPr>
        <w:t>：202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01</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2年12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31</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lang w:val="en-US" w:eastAsia="zh-CN"/>
        </w:rPr>
        <w:t>②</w:t>
      </w:r>
      <w:r>
        <w:rPr>
          <w:rFonts w:hint="eastAsia" w:ascii="楷体" w:hAnsi="楷体" w:eastAsia="楷体" w:cs="楷体"/>
          <w:color w:val="FF0000"/>
          <w:sz w:val="28"/>
          <w:szCs w:val="28"/>
        </w:rPr>
        <w:t>交货时间</w:t>
      </w:r>
      <w:r>
        <w:rPr>
          <w:rFonts w:hint="eastAsia" w:ascii="楷体" w:hAnsi="楷体" w:eastAsia="楷体" w:cs="楷体"/>
          <w:color w:val="FF0000"/>
          <w:sz w:val="28"/>
          <w:szCs w:val="28"/>
          <w:lang w:eastAsia="zh-CN"/>
        </w:rPr>
        <w:t>为：每月的</w:t>
      </w:r>
      <w:r>
        <w:rPr>
          <w:rFonts w:hint="eastAsia" w:ascii="楷体" w:hAnsi="楷体" w:eastAsia="楷体" w:cs="楷体"/>
          <w:color w:val="FF0000"/>
          <w:sz w:val="28"/>
          <w:szCs w:val="28"/>
          <w:lang w:val="en-US" w:eastAsia="zh-CN"/>
        </w:rPr>
        <w:t>1日到月底，每月</w:t>
      </w:r>
      <w:r>
        <w:rPr>
          <w:rFonts w:hint="eastAsia" w:ascii="楷体" w:hAnsi="楷体" w:eastAsia="楷体" w:cs="楷体"/>
          <w:color w:val="FF0000"/>
          <w:sz w:val="28"/>
          <w:szCs w:val="28"/>
        </w:rPr>
        <w:t>具体到货时间及数量以需方</w:t>
      </w:r>
      <w:r>
        <w:rPr>
          <w:rFonts w:hint="eastAsia" w:ascii="楷体" w:hAnsi="楷体" w:eastAsia="楷体" w:cs="楷体"/>
          <w:color w:val="FF0000"/>
          <w:sz w:val="28"/>
          <w:szCs w:val="28"/>
          <w:lang w:eastAsia="zh-CN"/>
        </w:rPr>
        <w:t>书面的计划</w:t>
      </w:r>
      <w:r>
        <w:rPr>
          <w:rFonts w:hint="eastAsia" w:ascii="楷体" w:hAnsi="楷体" w:eastAsia="楷体" w:cs="楷体"/>
          <w:color w:val="FF0000"/>
          <w:sz w:val="28"/>
          <w:szCs w:val="28"/>
        </w:rPr>
        <w:t>通知为准，逾期需方有权</w:t>
      </w:r>
      <w:r>
        <w:rPr>
          <w:rFonts w:hint="eastAsia" w:ascii="楷体" w:hAnsi="楷体" w:eastAsia="楷体" w:cs="楷体"/>
          <w:color w:val="FF0000"/>
          <w:sz w:val="28"/>
          <w:szCs w:val="28"/>
          <w:lang w:eastAsia="zh-CN"/>
        </w:rPr>
        <w:t>考核或</w:t>
      </w:r>
      <w:r>
        <w:rPr>
          <w:rFonts w:hint="eastAsia" w:ascii="楷体" w:hAnsi="楷体" w:eastAsia="楷体" w:cs="楷体"/>
          <w:color w:val="FF0000"/>
          <w:sz w:val="28"/>
          <w:szCs w:val="28"/>
        </w:rPr>
        <w:t>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lang w:eastAsia="zh-CN"/>
        </w:rPr>
        <w:t>③</w:t>
      </w: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01</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18</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highlight w:val="yellow"/>
          <w:u w:val="single"/>
          <w:lang w:val="en-US" w:eastAsia="zh-CN"/>
        </w:rPr>
        <w:t>人民币肆拾万元</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w:t>
      </w:r>
      <w:r>
        <w:rPr>
          <w:rFonts w:hint="eastAsia" w:ascii="楷体" w:hAnsi="楷体" w:eastAsia="楷体" w:cs="楷体"/>
          <w:b/>
          <w:bCs/>
          <w:sz w:val="28"/>
          <w:szCs w:val="28"/>
          <w:u w:val="none"/>
          <w:lang w:val="en-US" w:eastAsia="zh-CN"/>
        </w:rPr>
        <w:t>缴纳人民币</w:t>
      </w:r>
      <w:r>
        <w:rPr>
          <w:rFonts w:hint="eastAsia" w:ascii="楷体" w:hAnsi="楷体" w:eastAsia="楷体" w:cs="楷体"/>
          <w:b/>
          <w:bCs/>
          <w:color w:val="FF0000"/>
          <w:sz w:val="28"/>
          <w:szCs w:val="28"/>
          <w:u w:val="single"/>
          <w:lang w:val="en-US" w:eastAsia="zh-CN"/>
        </w:rPr>
        <w:t>肆拾万元</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ind w:firstLine="280" w:firstLineChars="100"/>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eastAsia="zh-CN"/>
        </w:rPr>
        <w:t>（四）由于本次为年度招标，报价以南通苏润燃料有限公司如东地区采购烟煤价格为基准（折</w:t>
      </w:r>
      <w:r>
        <w:rPr>
          <w:rFonts w:hint="eastAsia" w:ascii="楷体" w:hAnsi="楷体" w:eastAsia="楷体" w:cs="楷体"/>
          <w:color w:val="FF0000"/>
          <w:sz w:val="28"/>
          <w:szCs w:val="28"/>
          <w:lang w:val="en-US" w:eastAsia="zh-CN"/>
        </w:rPr>
        <w:t>5000大卡</w:t>
      </w:r>
      <w:r>
        <w:rPr>
          <w:rFonts w:hint="eastAsia" w:ascii="楷体" w:hAnsi="楷体" w:eastAsia="楷体" w:cs="楷体"/>
          <w:color w:val="FF0000"/>
          <w:sz w:val="28"/>
          <w:szCs w:val="28"/>
          <w:lang w:eastAsia="zh-CN"/>
        </w:rPr>
        <w:t>）。报价：以低于同期烟煤采购价（折</w:t>
      </w:r>
      <w:r>
        <w:rPr>
          <w:rFonts w:hint="eastAsia" w:ascii="楷体" w:hAnsi="楷体" w:eastAsia="楷体" w:cs="楷体"/>
          <w:color w:val="FF0000"/>
          <w:sz w:val="28"/>
          <w:szCs w:val="28"/>
          <w:lang w:val="en-US" w:eastAsia="zh-CN"/>
        </w:rPr>
        <w:t>5000大卡</w:t>
      </w: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lang w:val="en-US" w:eastAsia="zh-CN"/>
        </w:rPr>
        <w:t>120元/吨起报，差价大者中标。数量不足部分，按照价格梯次选择中标单位。</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年</w:t>
      </w:r>
      <w:r>
        <w:rPr>
          <w:rFonts w:hint="eastAsia" w:ascii="楷体" w:hAnsi="楷体" w:eastAsia="楷体" w:cs="楷体"/>
          <w:sz w:val="28"/>
          <w:szCs w:val="28"/>
          <w:highlight w:val="yellow"/>
          <w:u w:val="single"/>
          <w:lang w:val="en-US" w:eastAsia="zh-CN"/>
        </w:rPr>
        <w:t>01</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18</w:t>
      </w:r>
      <w:bookmarkStart w:id="0" w:name="_GoBack"/>
      <w:bookmarkEnd w:id="0"/>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w:t>
      </w:r>
      <w:r>
        <w:rPr>
          <w:rFonts w:hint="eastAsia" w:ascii="楷体" w:hAnsi="楷体" w:eastAsia="楷体" w:cs="楷体"/>
          <w:sz w:val="28"/>
          <w:szCs w:val="28"/>
          <w:lang w:eastAsia="zh-CN"/>
        </w:rPr>
        <w:t>综合全年煤泥供应的量和价格，根据</w:t>
      </w:r>
      <w:r>
        <w:rPr>
          <w:rFonts w:hint="eastAsia" w:ascii="楷体" w:hAnsi="楷体" w:eastAsia="楷体" w:cs="楷体"/>
          <w:sz w:val="28"/>
          <w:szCs w:val="28"/>
        </w:rPr>
        <w:t>评标得分</w:t>
      </w:r>
      <w:r>
        <w:rPr>
          <w:rFonts w:hint="eastAsia" w:ascii="楷体" w:hAnsi="楷体" w:eastAsia="楷体" w:cs="楷体"/>
          <w:sz w:val="28"/>
          <w:szCs w:val="28"/>
          <w:lang w:eastAsia="zh-CN"/>
        </w:rPr>
        <w:t>梯次，</w:t>
      </w:r>
      <w:r>
        <w:rPr>
          <w:rFonts w:hint="eastAsia" w:ascii="楷体" w:hAnsi="楷体" w:eastAsia="楷体" w:cs="楷体"/>
          <w:sz w:val="28"/>
          <w:szCs w:val="28"/>
        </w:rPr>
        <w:t>推荐中标候选人。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5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040"/>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3040"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2083" w:type="dxa"/>
            <w:tcMar>
              <w:top w:w="0" w:type="dxa"/>
              <w:left w:w="108" w:type="dxa"/>
              <w:bottom w:w="0" w:type="dxa"/>
              <w:right w:w="108" w:type="dxa"/>
            </w:tcMar>
            <w:vAlign w:val="center"/>
          </w:tcPr>
          <w:p>
            <w:pPr>
              <w:jc w:val="both"/>
              <w:rPr>
                <w:rFonts w:hint="eastAsia" w:ascii="楷体" w:hAnsi="楷体" w:eastAsia="楷体" w:cs="楷体"/>
                <w:sz w:val="24"/>
                <w:szCs w:val="24"/>
              </w:rPr>
            </w:pPr>
            <w:r>
              <w:rPr>
                <w:rFonts w:hint="eastAsia" w:ascii="楷体" w:hAnsi="楷体" w:eastAsia="楷体" w:cs="楷体"/>
                <w:sz w:val="24"/>
                <w:szCs w:val="24"/>
                <w:lang w:eastAsia="zh-CN"/>
              </w:rPr>
              <w:t>煤泥</w:t>
            </w:r>
            <w:r>
              <w:rPr>
                <w:rFonts w:hint="eastAsia" w:ascii="楷体" w:hAnsi="楷体" w:eastAsia="楷体" w:cs="楷体"/>
                <w:sz w:val="24"/>
                <w:szCs w:val="24"/>
              </w:rPr>
              <w:t>（注明矿源）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3040"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exac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w:t>
            </w:r>
            <w:r>
              <w:rPr>
                <w:rFonts w:hint="eastAsia" w:ascii="楷体" w:hAnsi="楷体" w:eastAsia="楷体" w:cs="楷体"/>
                <w:sz w:val="24"/>
                <w:szCs w:val="24"/>
                <w:lang w:eastAsia="zh-CN"/>
              </w:rPr>
              <w:t>低于同期</w:t>
            </w:r>
            <w:r>
              <w:rPr>
                <w:rFonts w:hint="eastAsia" w:ascii="楷体" w:hAnsi="楷体" w:eastAsia="楷体" w:cs="楷体"/>
                <w:color w:val="FF0000"/>
                <w:sz w:val="24"/>
                <w:szCs w:val="24"/>
                <w:lang w:eastAsia="zh-CN"/>
              </w:rPr>
              <w:t>南通苏润燃料有限公司如东地区采购烟煤价格</w:t>
            </w:r>
            <w:r>
              <w:rPr>
                <w:rFonts w:hint="eastAsia" w:ascii="楷体" w:hAnsi="楷体" w:eastAsia="楷体" w:cs="楷体"/>
                <w:color w:val="FF0000"/>
                <w:sz w:val="24"/>
                <w:szCs w:val="24"/>
              </w:rPr>
              <w:t>（</w:t>
            </w:r>
            <w:r>
              <w:rPr>
                <w:rFonts w:hint="eastAsia" w:ascii="楷体" w:hAnsi="楷体" w:eastAsia="楷体" w:cs="楷体"/>
                <w:color w:val="FF0000"/>
                <w:sz w:val="24"/>
                <w:szCs w:val="24"/>
                <w:lang w:eastAsia="zh-CN"/>
              </w:rPr>
              <w:t>折</w:t>
            </w:r>
            <w:r>
              <w:rPr>
                <w:rFonts w:hint="eastAsia" w:ascii="楷体" w:hAnsi="楷体" w:eastAsia="楷体" w:cs="楷体"/>
                <w:color w:val="FF0000"/>
                <w:sz w:val="24"/>
                <w:szCs w:val="24"/>
                <w:lang w:val="en-US" w:eastAsia="zh-CN"/>
              </w:rPr>
              <w:t>5000大卡，</w:t>
            </w:r>
            <w:r>
              <w:rPr>
                <w:rFonts w:hint="eastAsia" w:ascii="楷体" w:hAnsi="楷体" w:eastAsia="楷体" w:cs="楷体"/>
                <w:color w:val="FF0000"/>
                <w:sz w:val="24"/>
                <w:szCs w:val="24"/>
              </w:rPr>
              <w:t>含税含运费</w:t>
            </w:r>
            <w:r>
              <w:rPr>
                <w:rFonts w:hint="eastAsia" w:ascii="楷体" w:hAnsi="楷体" w:eastAsia="楷体" w:cs="楷体"/>
                <w:sz w:val="24"/>
                <w:szCs w:val="24"/>
              </w:rPr>
              <w:t>）</w:t>
            </w:r>
          </w:p>
        </w:tc>
        <w:tc>
          <w:tcPr>
            <w:tcW w:w="2083"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304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2083" w:type="dxa"/>
            <w:tcMar>
              <w:top w:w="0" w:type="dxa"/>
              <w:left w:w="108" w:type="dxa"/>
              <w:bottom w:w="0" w:type="dxa"/>
              <w:right w:w="108" w:type="dxa"/>
            </w:tcMar>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eastAsia="zh-CN"/>
              </w:rPr>
              <w:t>每月</w:t>
            </w:r>
            <w:r>
              <w:rPr>
                <w:rFonts w:hint="eastAsia" w:ascii="楷体" w:hAnsi="楷体" w:eastAsia="楷体" w:cs="楷体"/>
                <w:sz w:val="24"/>
                <w:szCs w:val="24"/>
                <w:lang w:val="en-US" w:eastAsia="zh-CN"/>
              </w:rPr>
              <w:t>1万吨</w:t>
            </w: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ind w:firstLine="560" w:firstLineChars="200"/>
        <w:rPr>
          <w:rFonts w:hint="eastAsia" w:ascii="楷体" w:hAnsi="楷体" w:eastAsia="楷体" w:cs="楷体"/>
          <w:sz w:val="28"/>
          <w:szCs w:val="28"/>
          <w:u w:val="single"/>
        </w:rPr>
      </w:pP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420" w:firstLineChars="150"/>
        <w:rPr>
          <w:rFonts w:hint="eastAsia" w:ascii="楷体" w:hAnsi="楷体" w:eastAsia="楷体" w:cs="楷体"/>
          <w:sz w:val="28"/>
          <w:szCs w:val="28"/>
        </w:rPr>
      </w:pPr>
      <w:r>
        <w:rPr>
          <w:rFonts w:hint="eastAsia" w:ascii="楷体" w:hAnsi="楷体" w:eastAsia="楷体" w:cs="楷体"/>
          <w:sz w:val="28"/>
          <w:szCs w:val="28"/>
          <w:lang w:val="en-US" w:eastAsia="zh-CN"/>
        </w:rPr>
        <w:t>需方</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合同编号：</w:t>
      </w:r>
    </w:p>
    <w:p>
      <w:pPr>
        <w:adjustRightInd w:val="0"/>
        <w:snapToGrid w:val="0"/>
        <w:ind w:left="180" w:firstLine="420" w:firstLineChars="15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供方</w:t>
      </w:r>
      <w:r>
        <w:rPr>
          <w:rFonts w:hint="eastAsia" w:ascii="楷体" w:hAnsi="楷体" w:eastAsia="楷体" w:cs="楷体"/>
          <w:sz w:val="28"/>
          <w:szCs w:val="28"/>
        </w:rPr>
        <w:t>：</w:t>
      </w:r>
      <w:r>
        <w:rPr>
          <w:rFonts w:hint="eastAsia" w:ascii="楷体" w:hAnsi="楷体" w:eastAsia="楷体" w:cs="楷体"/>
          <w:sz w:val="28"/>
          <w:szCs w:val="28"/>
          <w:lang w:val="en-US" w:eastAsia="zh-CN"/>
        </w:rPr>
        <w:t xml:space="preserve">                           合同签订地：</w:t>
      </w:r>
    </w:p>
    <w:p>
      <w:pPr>
        <w:adjustRightInd w:val="0"/>
        <w:snapToGrid w:val="0"/>
        <w:ind w:left="180" w:firstLine="420" w:firstLineChars="150"/>
        <w:rPr>
          <w:rFonts w:hint="eastAsia" w:ascii="楷体" w:hAnsi="楷体" w:eastAsia="楷体" w:cs="楷体"/>
          <w:sz w:val="28"/>
          <w:szCs w:val="28"/>
        </w:rPr>
      </w:pPr>
    </w:p>
    <w:p>
      <w:pPr>
        <w:adjustRightInd w:val="0"/>
        <w:snapToGrid w:val="0"/>
        <w:ind w:left="180" w:firstLine="420" w:firstLineChars="150"/>
        <w:rPr>
          <w:rFonts w:hint="eastAsia" w:ascii="楷体" w:hAnsi="楷体" w:eastAsia="楷体" w:cs="楷体"/>
          <w:sz w:val="28"/>
          <w:szCs w:val="28"/>
        </w:rPr>
      </w:pPr>
      <w:r>
        <w:rPr>
          <w:rFonts w:hint="eastAsia" w:ascii="楷体" w:hAnsi="楷体" w:eastAsia="楷体" w:cs="楷体"/>
          <w:sz w:val="28"/>
          <w:szCs w:val="28"/>
        </w:rPr>
        <w:t>为明确双方的权利与义务，根据《中华人民共和国合同法》等有关法律、法规和规章，就供方向需方供应</w:t>
      </w:r>
      <w:r>
        <w:rPr>
          <w:rFonts w:hint="eastAsia" w:ascii="楷体" w:hAnsi="楷体" w:eastAsia="楷体" w:cs="楷体"/>
          <w:sz w:val="28"/>
          <w:szCs w:val="28"/>
          <w:lang w:eastAsia="zh-CN"/>
        </w:rPr>
        <w:t>烟煤</w:t>
      </w:r>
      <w:r>
        <w:rPr>
          <w:rFonts w:hint="eastAsia" w:ascii="楷体" w:hAnsi="楷体" w:eastAsia="楷体" w:cs="楷体"/>
          <w:sz w:val="28"/>
          <w:szCs w:val="28"/>
        </w:rPr>
        <w:t>事宜，经双方协商一致，订立本合同。</w:t>
      </w:r>
    </w:p>
    <w:p>
      <w:pPr>
        <w:adjustRightInd w:val="0"/>
        <w:snapToGrid w:val="0"/>
        <w:rPr>
          <w:rFonts w:hint="eastAsia" w:ascii="楷体" w:hAnsi="楷体" w:eastAsia="楷体" w:cs="楷体"/>
          <w:sz w:val="28"/>
          <w:szCs w:val="28"/>
          <w:lang w:val="en-US" w:eastAsia="zh-CN"/>
        </w:rPr>
      </w:pPr>
    </w:p>
    <w:p>
      <w:pPr>
        <w:numPr>
          <w:ilvl w:val="0"/>
          <w:numId w:val="4"/>
        </w:numPr>
        <w:adjustRightInd w:val="0"/>
        <w:snapToGrid w:val="0"/>
        <w:ind w:left="180" w:firstLine="422" w:firstLineChars="150"/>
        <w:rPr>
          <w:rFonts w:hint="eastAsia" w:ascii="楷体" w:hAnsi="楷体" w:eastAsia="楷体" w:cs="楷体"/>
          <w:sz w:val="28"/>
          <w:szCs w:val="28"/>
          <w:lang w:val="en-US" w:eastAsia="zh-CN"/>
        </w:rPr>
      </w:pPr>
      <w:r>
        <w:rPr>
          <w:rFonts w:hint="eastAsia" w:ascii="楷体" w:hAnsi="楷体" w:eastAsia="楷体" w:cs="楷体"/>
          <w:b/>
          <w:bCs/>
          <w:sz w:val="28"/>
          <w:szCs w:val="28"/>
        </w:rPr>
        <w:t>煤炭品种</w:t>
      </w:r>
      <w:r>
        <w:rPr>
          <w:rFonts w:hint="eastAsia" w:ascii="楷体" w:hAnsi="楷体" w:eastAsia="楷体" w:cs="楷体"/>
          <w:sz w:val="28"/>
          <w:szCs w:val="28"/>
        </w:rPr>
        <w:t>：</w:t>
      </w:r>
      <w:r>
        <w:rPr>
          <w:rFonts w:hint="eastAsia" w:ascii="楷体" w:hAnsi="楷体" w:eastAsia="楷体" w:cs="楷体"/>
          <w:sz w:val="28"/>
          <w:szCs w:val="28"/>
          <w:lang w:val="en-US" w:eastAsia="zh-CN"/>
        </w:rPr>
        <w:t>煤泥</w:t>
      </w:r>
    </w:p>
    <w:p>
      <w:pPr>
        <w:numPr>
          <w:ilvl w:val="0"/>
          <w:numId w:val="0"/>
        </w:numPr>
        <w:adjustRightInd w:val="0"/>
        <w:snapToGrid w:val="0"/>
        <w:ind w:leftChars="150"/>
        <w:rPr>
          <w:rFonts w:hint="eastAsia" w:ascii="楷体" w:hAnsi="楷体" w:eastAsia="楷体" w:cs="楷体"/>
          <w:sz w:val="28"/>
          <w:szCs w:val="28"/>
          <w:lang w:val="en-US" w:eastAsia="zh-CN"/>
        </w:rPr>
      </w:pPr>
    </w:p>
    <w:p>
      <w:pPr>
        <w:adjustRightInd w:val="0"/>
        <w:snapToGrid w:val="0"/>
        <w:ind w:left="180" w:firstLine="422" w:firstLineChars="150"/>
        <w:rPr>
          <w:rFonts w:hint="eastAsia" w:ascii="楷体" w:hAnsi="楷体" w:eastAsia="楷体" w:cs="楷体"/>
          <w:b/>
          <w:bCs/>
          <w:sz w:val="28"/>
          <w:szCs w:val="28"/>
        </w:rPr>
      </w:pPr>
      <w:r>
        <w:rPr>
          <w:rFonts w:hint="eastAsia" w:ascii="楷体" w:hAnsi="楷体" w:eastAsia="楷体" w:cs="楷体"/>
          <w:b/>
          <w:bCs/>
          <w:sz w:val="28"/>
          <w:szCs w:val="28"/>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1797" w:type="dxa"/>
            <w:noWrap w:val="0"/>
            <w:vAlign w:val="top"/>
          </w:tcPr>
          <w:p>
            <w:pPr>
              <w:jc w:val="center"/>
              <w:rPr>
                <w:rFonts w:hint="eastAsia" w:ascii="楷体" w:hAnsi="楷体" w:eastAsia="楷体" w:cs="楷体"/>
                <w:sz w:val="28"/>
                <w:szCs w:val="28"/>
              </w:rPr>
            </w:pPr>
            <w:r>
              <w:rPr>
                <w:rFonts w:hint="eastAsia" w:ascii="楷体" w:hAnsi="楷体" w:eastAsia="楷体" w:cs="楷体"/>
                <w:sz w:val="28"/>
                <w:szCs w:val="28"/>
              </w:rPr>
              <w:t>低位发热量</w:t>
            </w:r>
          </w:p>
          <w:p>
            <w:pPr>
              <w:jc w:val="center"/>
              <w:rPr>
                <w:rFonts w:hint="eastAsia" w:ascii="楷体" w:hAnsi="楷体" w:eastAsia="楷体" w:cs="楷体"/>
                <w:sz w:val="28"/>
                <w:szCs w:val="28"/>
              </w:rPr>
            </w:pPr>
          </w:p>
        </w:tc>
        <w:tc>
          <w:tcPr>
            <w:tcW w:w="1247" w:type="dxa"/>
            <w:noWrap w:val="0"/>
            <w:vAlign w:val="top"/>
          </w:tcPr>
          <w:p>
            <w:pPr>
              <w:jc w:val="center"/>
              <w:rPr>
                <w:rFonts w:hint="eastAsia" w:ascii="楷体" w:hAnsi="楷体" w:eastAsia="楷体" w:cs="楷体"/>
                <w:sz w:val="28"/>
                <w:szCs w:val="28"/>
              </w:rPr>
            </w:pPr>
            <w:r>
              <w:rPr>
                <w:rFonts w:hint="eastAsia" w:ascii="楷体" w:hAnsi="楷体" w:eastAsia="楷体" w:cs="楷体"/>
                <w:sz w:val="28"/>
                <w:szCs w:val="28"/>
              </w:rPr>
              <w:t>挥发份</w:t>
            </w:r>
          </w:p>
          <w:p>
            <w:pPr>
              <w:jc w:val="center"/>
              <w:rPr>
                <w:rFonts w:hint="eastAsia" w:ascii="楷体" w:hAnsi="楷体" w:eastAsia="楷体" w:cs="楷体"/>
                <w:sz w:val="28"/>
                <w:szCs w:val="28"/>
              </w:rPr>
            </w:pPr>
          </w:p>
        </w:tc>
        <w:tc>
          <w:tcPr>
            <w:tcW w:w="1229" w:type="dxa"/>
            <w:noWrap w:val="0"/>
            <w:vAlign w:val="top"/>
          </w:tcPr>
          <w:p>
            <w:pPr>
              <w:jc w:val="center"/>
              <w:rPr>
                <w:rFonts w:hint="eastAsia" w:ascii="楷体" w:hAnsi="楷体" w:eastAsia="楷体" w:cs="楷体"/>
                <w:sz w:val="28"/>
                <w:szCs w:val="28"/>
              </w:rPr>
            </w:pPr>
            <w:r>
              <w:rPr>
                <w:rFonts w:hint="eastAsia" w:ascii="楷体" w:hAnsi="楷体" w:eastAsia="楷体" w:cs="楷体"/>
                <w:sz w:val="28"/>
                <w:szCs w:val="28"/>
              </w:rPr>
              <w:t>全硫</w:t>
            </w:r>
          </w:p>
          <w:p>
            <w:pPr>
              <w:jc w:val="center"/>
              <w:rPr>
                <w:rFonts w:hint="eastAsia" w:ascii="楷体" w:hAnsi="楷体" w:eastAsia="楷体" w:cs="楷体"/>
                <w:sz w:val="28"/>
                <w:szCs w:val="28"/>
              </w:rPr>
            </w:pPr>
          </w:p>
        </w:tc>
        <w:tc>
          <w:tcPr>
            <w:tcW w:w="1522" w:type="dxa"/>
            <w:noWrap w:val="0"/>
            <w:vAlign w:val="top"/>
          </w:tcPr>
          <w:p>
            <w:pPr>
              <w:jc w:val="center"/>
              <w:rPr>
                <w:rFonts w:hint="eastAsia" w:ascii="楷体" w:hAnsi="楷体" w:eastAsia="楷体" w:cs="楷体"/>
                <w:sz w:val="28"/>
                <w:szCs w:val="28"/>
              </w:rPr>
            </w:pPr>
            <w:r>
              <w:rPr>
                <w:rFonts w:hint="eastAsia" w:ascii="楷体" w:hAnsi="楷体" w:eastAsia="楷体" w:cs="楷体"/>
                <w:sz w:val="28"/>
                <w:szCs w:val="28"/>
              </w:rPr>
              <w:t>全水份</w:t>
            </w:r>
          </w:p>
          <w:p>
            <w:pPr>
              <w:jc w:val="center"/>
              <w:rPr>
                <w:rFonts w:hint="eastAsia" w:ascii="楷体" w:hAnsi="楷体" w:eastAsia="楷体" w:cs="楷体"/>
                <w:sz w:val="28"/>
                <w:szCs w:val="28"/>
              </w:rPr>
            </w:pPr>
          </w:p>
        </w:tc>
        <w:tc>
          <w:tcPr>
            <w:tcW w:w="1320" w:type="dxa"/>
            <w:noWrap w:val="0"/>
            <w:vAlign w:val="top"/>
          </w:tcPr>
          <w:p>
            <w:pPr>
              <w:ind w:firstLine="280" w:firstLineChars="100"/>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外水</w:t>
            </w:r>
          </w:p>
        </w:tc>
        <w:tc>
          <w:tcPr>
            <w:tcW w:w="1302" w:type="dxa"/>
            <w:noWrap w:val="0"/>
            <w:vAlign w:val="top"/>
          </w:tcPr>
          <w:p>
            <w:pPr>
              <w:ind w:firstLine="280" w:firstLineChars="100"/>
              <w:jc w:val="center"/>
              <w:rPr>
                <w:rFonts w:hint="eastAsia" w:ascii="楷体" w:hAnsi="楷体" w:eastAsia="楷体" w:cs="楷体"/>
                <w:sz w:val="28"/>
                <w:szCs w:val="28"/>
              </w:rPr>
            </w:pPr>
            <w:r>
              <w:rPr>
                <w:rFonts w:hint="eastAsia" w:ascii="楷体" w:hAnsi="楷体" w:eastAsia="楷体" w:cs="楷体"/>
                <w:sz w:val="28"/>
                <w:szCs w:val="28"/>
              </w:rPr>
              <w:t>灰份</w:t>
            </w:r>
          </w:p>
          <w:p>
            <w:pPr>
              <w:jc w:val="center"/>
              <w:rPr>
                <w:rFonts w:hint="eastAsia"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 w:val="28"/>
                <w:szCs w:val="28"/>
              </w:rPr>
            </w:pPr>
          </w:p>
        </w:tc>
        <w:tc>
          <w:tcPr>
            <w:tcW w:w="1247" w:type="dxa"/>
            <w:noWrap w:val="0"/>
            <w:vAlign w:val="center"/>
          </w:tcPr>
          <w:p>
            <w:pPr>
              <w:jc w:val="both"/>
              <w:rPr>
                <w:rFonts w:hint="eastAsia" w:ascii="楷体" w:hAnsi="楷体" w:eastAsia="楷体" w:cs="楷体"/>
                <w:sz w:val="28"/>
                <w:szCs w:val="28"/>
                <w:lang w:val="en-US" w:eastAsia="zh-CN"/>
              </w:rPr>
            </w:pPr>
          </w:p>
        </w:tc>
        <w:tc>
          <w:tcPr>
            <w:tcW w:w="1229" w:type="dxa"/>
            <w:noWrap w:val="0"/>
            <w:vAlign w:val="center"/>
          </w:tcPr>
          <w:p>
            <w:pPr>
              <w:jc w:val="center"/>
              <w:rPr>
                <w:rFonts w:hint="eastAsia" w:ascii="楷体" w:hAnsi="楷体" w:eastAsia="楷体" w:cs="楷体"/>
                <w:sz w:val="28"/>
                <w:szCs w:val="28"/>
                <w:lang w:val="en-US" w:eastAsia="zh-CN"/>
              </w:rPr>
            </w:pPr>
          </w:p>
        </w:tc>
        <w:tc>
          <w:tcPr>
            <w:tcW w:w="1522" w:type="dxa"/>
            <w:noWrap w:val="0"/>
            <w:vAlign w:val="center"/>
          </w:tcPr>
          <w:p>
            <w:pPr>
              <w:jc w:val="center"/>
              <w:rPr>
                <w:rFonts w:hint="eastAsia" w:ascii="楷体" w:hAnsi="楷体" w:eastAsia="楷体" w:cs="楷体"/>
                <w:sz w:val="28"/>
                <w:szCs w:val="28"/>
              </w:rPr>
            </w:pPr>
          </w:p>
        </w:tc>
        <w:tc>
          <w:tcPr>
            <w:tcW w:w="1320" w:type="dxa"/>
            <w:noWrap w:val="0"/>
            <w:vAlign w:val="center"/>
          </w:tcPr>
          <w:p>
            <w:pPr>
              <w:spacing w:line="440" w:lineRule="exact"/>
              <w:jc w:val="center"/>
              <w:rPr>
                <w:rFonts w:hint="eastAsia" w:ascii="楷体" w:hAnsi="楷体" w:eastAsia="楷体" w:cs="楷体"/>
                <w:sz w:val="28"/>
                <w:szCs w:val="28"/>
                <w:lang w:val="en-US" w:eastAsia="zh-CN"/>
              </w:rPr>
            </w:pPr>
          </w:p>
        </w:tc>
        <w:tc>
          <w:tcPr>
            <w:tcW w:w="1302" w:type="dxa"/>
            <w:noWrap w:val="0"/>
            <w:vAlign w:val="center"/>
          </w:tcPr>
          <w:p>
            <w:pPr>
              <w:jc w:val="center"/>
              <w:rPr>
                <w:rFonts w:hint="eastAsia" w:ascii="楷体" w:hAnsi="楷体" w:eastAsia="楷体" w:cs="楷体"/>
                <w:sz w:val="28"/>
                <w:szCs w:val="28"/>
                <w:lang w:eastAsia="zh-CN"/>
              </w:rPr>
            </w:pPr>
          </w:p>
        </w:tc>
      </w:tr>
    </w:tbl>
    <w:p>
      <w:pPr>
        <w:numPr>
          <w:ilvl w:val="0"/>
          <w:numId w:val="0"/>
        </w:numPr>
        <w:adjustRightInd w:val="0"/>
        <w:snapToGrid w:val="0"/>
        <w:ind w:leftChars="150"/>
        <w:rPr>
          <w:rFonts w:hint="eastAsia" w:ascii="楷体" w:hAnsi="楷体" w:eastAsia="楷体" w:cs="楷体"/>
          <w:sz w:val="28"/>
          <w:szCs w:val="28"/>
        </w:rPr>
      </w:pPr>
    </w:p>
    <w:p>
      <w:pPr>
        <w:numPr>
          <w:ilvl w:val="0"/>
          <w:numId w:val="5"/>
        </w:numPr>
        <w:adjustRightInd w:val="0"/>
        <w:snapToGrid w:val="0"/>
        <w:ind w:left="180" w:firstLine="422" w:firstLineChars="150"/>
        <w:rPr>
          <w:rFonts w:hint="eastAsia" w:ascii="楷体" w:hAnsi="楷体" w:eastAsia="楷体" w:cs="楷体"/>
          <w:b/>
          <w:bCs/>
          <w:sz w:val="28"/>
          <w:szCs w:val="28"/>
        </w:rPr>
      </w:pPr>
      <w:r>
        <w:rPr>
          <w:rFonts w:hint="eastAsia" w:ascii="楷体" w:hAnsi="楷体" w:eastAsia="楷体" w:cs="楷体"/>
          <w:b/>
          <w:bCs/>
          <w:sz w:val="28"/>
          <w:szCs w:val="28"/>
        </w:rPr>
        <w:t>数量</w:t>
      </w:r>
      <w:r>
        <w:rPr>
          <w:rFonts w:hint="eastAsia" w:ascii="楷体" w:hAnsi="楷体" w:eastAsia="楷体" w:cs="楷体"/>
          <w:b/>
          <w:bCs/>
          <w:sz w:val="28"/>
          <w:szCs w:val="28"/>
          <w:lang w:eastAsia="zh-CN"/>
        </w:rPr>
        <w:t>：每月</w:t>
      </w:r>
      <w:r>
        <w:rPr>
          <w:rFonts w:hint="eastAsia" w:ascii="楷体" w:hAnsi="楷体" w:eastAsia="楷体" w:cs="楷体"/>
          <w:b/>
          <w:bCs/>
          <w:sz w:val="28"/>
          <w:szCs w:val="28"/>
          <w:u w:val="single"/>
          <w:lang w:val="en-US" w:eastAsia="zh-CN"/>
        </w:rPr>
        <w:t xml:space="preserve"> 10000 </w:t>
      </w:r>
      <w:r>
        <w:rPr>
          <w:rFonts w:hint="eastAsia" w:ascii="楷体" w:hAnsi="楷体" w:eastAsia="楷体" w:cs="楷体"/>
          <w:b/>
          <w:bCs/>
          <w:sz w:val="28"/>
          <w:szCs w:val="28"/>
        </w:rPr>
        <w:t>吨</w:t>
      </w:r>
      <w:r>
        <w:rPr>
          <w:rFonts w:hint="eastAsia" w:ascii="楷体" w:hAnsi="楷体" w:eastAsia="楷体" w:cs="楷体"/>
          <w:b/>
          <w:bCs/>
          <w:sz w:val="28"/>
          <w:szCs w:val="28"/>
          <w:lang w:eastAsia="zh-CN"/>
        </w:rPr>
        <w:t>，允许有±</w:t>
      </w:r>
      <w:r>
        <w:rPr>
          <w:rFonts w:hint="eastAsia" w:ascii="楷体" w:hAnsi="楷体" w:eastAsia="楷体" w:cs="楷体"/>
          <w:b/>
          <w:bCs/>
          <w:sz w:val="28"/>
          <w:szCs w:val="28"/>
          <w:u w:val="single"/>
          <w:lang w:val="en-US" w:eastAsia="zh-CN"/>
        </w:rPr>
        <w:t xml:space="preserve"> 5 </w:t>
      </w:r>
      <w:r>
        <w:rPr>
          <w:rFonts w:hint="eastAsia" w:ascii="楷体" w:hAnsi="楷体" w:eastAsia="楷体" w:cs="楷体"/>
          <w:b/>
          <w:bCs/>
          <w:sz w:val="28"/>
          <w:szCs w:val="28"/>
          <w:lang w:eastAsia="zh-CN"/>
        </w:rPr>
        <w:t>%的偏差（</w:t>
      </w:r>
      <w:r>
        <w:rPr>
          <w:rFonts w:hint="eastAsia" w:ascii="楷体" w:hAnsi="楷体" w:eastAsia="楷体" w:cs="楷体"/>
          <w:b/>
          <w:bCs/>
          <w:sz w:val="28"/>
          <w:szCs w:val="28"/>
          <w:lang w:val="en-US" w:eastAsia="zh-CN"/>
        </w:rPr>
        <w:t>±5％以内</w:t>
      </w:r>
      <w:r>
        <w:rPr>
          <w:rFonts w:hint="eastAsia" w:ascii="楷体" w:hAnsi="楷体" w:eastAsia="楷体" w:cs="楷体"/>
          <w:b/>
          <w:bCs/>
          <w:sz w:val="28"/>
          <w:szCs w:val="28"/>
          <w:lang w:eastAsia="zh-CN"/>
        </w:rPr>
        <w:t>）。</w:t>
      </w:r>
    </w:p>
    <w:p>
      <w:pPr>
        <w:adjustRightInd w:val="0"/>
        <w:snapToGrid w:val="0"/>
        <w:rPr>
          <w:rFonts w:hint="eastAsia" w:ascii="楷体" w:hAnsi="楷体" w:eastAsia="楷体" w:cs="楷体"/>
          <w:b/>
          <w:bCs/>
          <w:sz w:val="28"/>
          <w:szCs w:val="28"/>
          <w:lang w:val="en-US" w:eastAsia="zh-CN"/>
        </w:rPr>
      </w:pPr>
    </w:p>
    <w:p>
      <w:pPr>
        <w:adjustRightInd w:val="0"/>
        <w:snapToGrid w:val="0"/>
        <w:ind w:left="180" w:firstLine="422" w:firstLineChars="15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四</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价格的确定</w:t>
      </w:r>
    </w:p>
    <w:p>
      <w:pPr>
        <w:ind w:firstLine="560" w:firstLineChars="200"/>
        <w:rPr>
          <w:rFonts w:hint="eastAsia" w:ascii="楷体" w:hAnsi="楷体" w:eastAsia="楷体" w:cs="楷体"/>
          <w:sz w:val="28"/>
          <w:szCs w:val="28"/>
          <w:lang w:eastAsia="zh-CN"/>
        </w:rPr>
      </w:pPr>
      <w:r>
        <w:rPr>
          <w:rFonts w:hint="eastAsia" w:ascii="楷体" w:hAnsi="楷体" w:eastAsia="楷体" w:cs="楷体"/>
          <w:sz w:val="28"/>
          <w:szCs w:val="28"/>
          <w:lang w:val="en-US" w:eastAsia="zh-CN"/>
        </w:rPr>
        <w:t>（一）基准价格：根据每月烟煤（折5000大卡）的采购的价格</w:t>
      </w:r>
      <w:r>
        <w:rPr>
          <w:rFonts w:hint="eastAsia" w:ascii="楷体" w:hAnsi="楷体" w:eastAsia="楷体" w:cs="楷体"/>
          <w:sz w:val="28"/>
          <w:szCs w:val="28"/>
          <w:u w:val="none"/>
          <w:lang w:val="en-US" w:eastAsia="zh-CN"/>
        </w:rPr>
        <w:t>下浮</w:t>
      </w:r>
      <w:r>
        <w:rPr>
          <w:rFonts w:hint="eastAsia" w:ascii="楷体" w:hAnsi="楷体" w:eastAsia="楷体" w:cs="楷体"/>
          <w:sz w:val="28"/>
          <w:szCs w:val="28"/>
          <w:u w:val="single"/>
          <w:lang w:val="en-US" w:eastAsia="zh-CN"/>
        </w:rPr>
        <w:t xml:space="preserve">   </w:t>
      </w:r>
      <w:r>
        <w:rPr>
          <w:rFonts w:hint="eastAsia" w:ascii="楷体" w:hAnsi="楷体" w:eastAsia="楷体" w:cs="楷体"/>
          <w:sz w:val="28"/>
          <w:szCs w:val="28"/>
          <w:u w:val="none"/>
          <w:lang w:val="en-US" w:eastAsia="zh-CN"/>
        </w:rPr>
        <w:t xml:space="preserve">元/ </w:t>
      </w:r>
      <w:r>
        <w:rPr>
          <w:rFonts w:hint="eastAsia" w:ascii="楷体" w:hAnsi="楷体" w:eastAsia="楷体" w:cs="楷体"/>
          <w:sz w:val="28"/>
          <w:szCs w:val="28"/>
          <w:u w:val="none"/>
        </w:rPr>
        <w:t>吨</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含税含运费</w:t>
      </w:r>
      <w:r>
        <w:rPr>
          <w:rFonts w:hint="eastAsia" w:ascii="楷体" w:hAnsi="楷体" w:eastAsia="楷体" w:cs="楷体"/>
          <w:sz w:val="28"/>
          <w:szCs w:val="28"/>
          <w:lang w:eastAsia="zh-CN"/>
        </w:rPr>
        <w:t>）。</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（二）价格调整方法</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1、低硫烟煤收到基低位发热量在</w:t>
      </w:r>
      <w:r>
        <w:rPr>
          <w:rFonts w:hint="eastAsia" w:ascii="楷体" w:hAnsi="楷体" w:eastAsia="楷体" w:cs="楷体"/>
          <w:sz w:val="28"/>
          <w:szCs w:val="28"/>
          <w:u w:val="single"/>
          <w:lang w:val="en-US" w:eastAsia="zh-CN"/>
        </w:rPr>
        <w:t xml:space="preserve"> 3000 </w:t>
      </w:r>
      <w:r>
        <w:rPr>
          <w:rFonts w:hint="eastAsia" w:ascii="楷体" w:hAnsi="楷体" w:eastAsia="楷体" w:cs="楷体"/>
          <w:sz w:val="28"/>
          <w:szCs w:val="28"/>
          <w:lang w:val="en-US" w:eastAsia="zh-CN"/>
        </w:rPr>
        <w:t>Kcal/Kg（含）以上时，根据基准价格，按实结算。</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2．低硫烟煤收到基低位发热量在</w:t>
      </w:r>
      <w:r>
        <w:rPr>
          <w:rFonts w:hint="eastAsia" w:ascii="楷体" w:hAnsi="楷体" w:eastAsia="楷体" w:cs="楷体"/>
          <w:sz w:val="28"/>
          <w:szCs w:val="28"/>
          <w:u w:val="single"/>
          <w:lang w:val="en-US" w:eastAsia="zh-CN"/>
        </w:rPr>
        <w:t>2800</w:t>
      </w:r>
      <w:r>
        <w:rPr>
          <w:rFonts w:hint="eastAsia" w:ascii="楷体" w:hAnsi="楷体" w:eastAsia="楷体" w:cs="楷体"/>
          <w:sz w:val="28"/>
          <w:szCs w:val="28"/>
          <w:lang w:val="en-US" w:eastAsia="zh-CN"/>
        </w:rPr>
        <w:t xml:space="preserve"> Kcal/Kg（含）至</w:t>
      </w:r>
      <w:r>
        <w:rPr>
          <w:rFonts w:hint="eastAsia" w:ascii="楷体" w:hAnsi="楷体" w:eastAsia="楷体" w:cs="楷体"/>
          <w:sz w:val="28"/>
          <w:szCs w:val="28"/>
          <w:u w:val="single"/>
          <w:lang w:val="en-US" w:eastAsia="zh-CN"/>
        </w:rPr>
        <w:t xml:space="preserve">3000  </w:t>
      </w:r>
      <w:r>
        <w:rPr>
          <w:rFonts w:hint="eastAsia" w:ascii="楷体" w:hAnsi="楷体" w:eastAsia="楷体" w:cs="楷体"/>
          <w:sz w:val="28"/>
          <w:szCs w:val="28"/>
          <w:lang w:val="en-US" w:eastAsia="zh-CN"/>
        </w:rPr>
        <w:t>Kcal/Kg之间时，基准价格再下浮</w:t>
      </w:r>
      <w:r>
        <w:rPr>
          <w:rFonts w:hint="eastAsia" w:ascii="楷体" w:hAnsi="楷体" w:eastAsia="楷体" w:cs="楷体"/>
          <w:sz w:val="28"/>
          <w:szCs w:val="28"/>
          <w:u w:val="single"/>
          <w:lang w:val="en-US" w:eastAsia="zh-CN"/>
        </w:rPr>
        <w:t>20元/吨</w:t>
      </w:r>
      <w:r>
        <w:rPr>
          <w:rFonts w:hint="eastAsia" w:ascii="楷体" w:hAnsi="楷体" w:eastAsia="楷体" w:cs="楷体"/>
          <w:sz w:val="28"/>
          <w:szCs w:val="28"/>
          <w:lang w:val="en-US" w:eastAsia="zh-CN"/>
        </w:rPr>
        <w:t>，按实结算。</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3、低硫烟煤收到基低位发热量低于</w:t>
      </w:r>
      <w:r>
        <w:rPr>
          <w:rFonts w:hint="eastAsia" w:ascii="楷体" w:hAnsi="楷体" w:eastAsia="楷体" w:cs="楷体"/>
          <w:sz w:val="28"/>
          <w:szCs w:val="28"/>
          <w:u w:val="single"/>
          <w:lang w:val="en-US" w:eastAsia="zh-CN"/>
        </w:rPr>
        <w:t>2800</w:t>
      </w:r>
      <w:r>
        <w:rPr>
          <w:rFonts w:hint="eastAsia" w:ascii="楷体" w:hAnsi="楷体" w:eastAsia="楷体" w:cs="楷体"/>
          <w:sz w:val="28"/>
          <w:szCs w:val="28"/>
          <w:lang w:val="en-US" w:eastAsia="zh-CN"/>
        </w:rPr>
        <w:t xml:space="preserve"> Kcal/Kg时，需方有权拒收低硫烟煤。</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4、低硫烟煤收到基全硫在</w:t>
      </w:r>
      <w:r>
        <w:rPr>
          <w:rFonts w:hint="eastAsia" w:ascii="楷体" w:hAnsi="楷体" w:eastAsia="楷体" w:cs="楷体"/>
          <w:sz w:val="28"/>
          <w:szCs w:val="28"/>
          <w:u w:val="single"/>
          <w:lang w:val="en-US" w:eastAsia="zh-CN"/>
        </w:rPr>
        <w:t>0.8</w:t>
      </w:r>
      <w:r>
        <w:rPr>
          <w:rFonts w:hint="eastAsia" w:ascii="楷体" w:hAnsi="楷体" w:eastAsia="楷体" w:cs="楷体"/>
          <w:sz w:val="28"/>
          <w:szCs w:val="28"/>
          <w:lang w:val="en-US" w:eastAsia="zh-CN"/>
        </w:rPr>
        <w:t>％至</w:t>
      </w:r>
      <w:r>
        <w:rPr>
          <w:rFonts w:hint="eastAsia" w:ascii="楷体" w:hAnsi="楷体" w:eastAsia="楷体" w:cs="楷体"/>
          <w:sz w:val="28"/>
          <w:szCs w:val="28"/>
          <w:u w:val="single"/>
          <w:lang w:val="en-US" w:eastAsia="zh-CN"/>
        </w:rPr>
        <w:t>1.0</w:t>
      </w:r>
      <w:r>
        <w:rPr>
          <w:rFonts w:hint="eastAsia" w:ascii="楷体" w:hAnsi="楷体" w:eastAsia="楷体" w:cs="楷体"/>
          <w:sz w:val="28"/>
          <w:szCs w:val="28"/>
          <w:lang w:val="en-US" w:eastAsia="zh-CN"/>
        </w:rPr>
        <w:t>％之间时，按每高 0.1%扣减5元/吨结算，若全硫＞</w:t>
      </w:r>
      <w:r>
        <w:rPr>
          <w:rFonts w:hint="eastAsia" w:ascii="楷体" w:hAnsi="楷体" w:eastAsia="楷体" w:cs="楷体"/>
          <w:sz w:val="28"/>
          <w:szCs w:val="28"/>
          <w:u w:val="single"/>
          <w:lang w:val="en-US" w:eastAsia="zh-CN"/>
        </w:rPr>
        <w:t>1.0％</w:t>
      </w:r>
      <w:r>
        <w:rPr>
          <w:rFonts w:hint="eastAsia" w:ascii="楷体" w:hAnsi="楷体" w:eastAsia="楷体" w:cs="楷体"/>
          <w:sz w:val="28"/>
          <w:szCs w:val="28"/>
          <w:lang w:val="en-US" w:eastAsia="zh-CN"/>
        </w:rPr>
        <w:t>时，需方有权拒收。</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5、低硫烟煤收到基全水分在</w:t>
      </w:r>
      <w:r>
        <w:rPr>
          <w:rFonts w:hint="eastAsia" w:ascii="楷体" w:hAnsi="楷体" w:eastAsia="楷体" w:cs="楷体"/>
          <w:sz w:val="28"/>
          <w:szCs w:val="28"/>
          <w:u w:val="single"/>
          <w:lang w:val="en-US" w:eastAsia="zh-CN"/>
        </w:rPr>
        <w:t xml:space="preserve"> 14 </w:t>
      </w:r>
      <w:r>
        <w:rPr>
          <w:rFonts w:hint="eastAsia" w:ascii="楷体" w:hAnsi="楷体" w:eastAsia="楷体" w:cs="楷体"/>
          <w:sz w:val="28"/>
          <w:szCs w:val="28"/>
          <w:lang w:val="en-US" w:eastAsia="zh-CN"/>
        </w:rPr>
        <w:t>％ 至</w:t>
      </w:r>
      <w:r>
        <w:rPr>
          <w:rFonts w:hint="eastAsia" w:ascii="楷体" w:hAnsi="楷体" w:eastAsia="楷体" w:cs="楷体"/>
          <w:sz w:val="28"/>
          <w:szCs w:val="28"/>
          <w:u w:val="single"/>
          <w:lang w:val="en-US" w:eastAsia="zh-CN"/>
        </w:rPr>
        <w:t>15</w:t>
      </w:r>
      <w:r>
        <w:rPr>
          <w:rFonts w:hint="eastAsia" w:ascii="楷体" w:hAnsi="楷体" w:eastAsia="楷体" w:cs="楷体"/>
          <w:sz w:val="28"/>
          <w:szCs w:val="28"/>
          <w:lang w:val="en-US" w:eastAsia="zh-CN"/>
        </w:rPr>
        <w:t>% 之间时，每高0.1%扣总吨位的0.1%数量，扣减水份不增加热值。全水超过</w:t>
      </w:r>
      <w:r>
        <w:rPr>
          <w:rFonts w:hint="eastAsia" w:ascii="楷体" w:hAnsi="楷体" w:eastAsia="楷体" w:cs="楷体"/>
          <w:sz w:val="28"/>
          <w:szCs w:val="28"/>
          <w:u w:val="single"/>
          <w:lang w:val="en-US" w:eastAsia="zh-CN"/>
        </w:rPr>
        <w:t>15</w:t>
      </w:r>
      <w:r>
        <w:rPr>
          <w:rFonts w:hint="eastAsia" w:ascii="楷体" w:hAnsi="楷体" w:eastAsia="楷体" w:cs="楷体"/>
          <w:sz w:val="28"/>
          <w:szCs w:val="28"/>
          <w:lang w:val="en-US" w:eastAsia="zh-CN"/>
        </w:rPr>
        <w:t>％以上，需方有权拒收，若需方同意接受，按每高0.1%扣总吨位的0.1%数量，扣减水份不增加热值，同时再加扣0.002元/大卡。</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6、低硫烟煤收到基挥发份低于</w:t>
      </w:r>
      <w:r>
        <w:rPr>
          <w:rFonts w:hint="eastAsia" w:ascii="楷体" w:hAnsi="楷体" w:eastAsia="楷体" w:cs="楷体"/>
          <w:sz w:val="28"/>
          <w:szCs w:val="28"/>
          <w:u w:val="single"/>
          <w:lang w:val="en-US" w:eastAsia="zh-CN"/>
        </w:rPr>
        <w:t xml:space="preserve"> 17 </w:t>
      </w:r>
      <w:r>
        <w:rPr>
          <w:rFonts w:hint="eastAsia" w:ascii="楷体" w:hAnsi="楷体" w:eastAsia="楷体" w:cs="楷体"/>
          <w:sz w:val="28"/>
          <w:szCs w:val="28"/>
          <w:lang w:val="en-US" w:eastAsia="zh-CN"/>
        </w:rPr>
        <w:t>％时，按每低 1%扣减2 元/吨结算，不足1%按比例计算。</w:t>
      </w:r>
    </w:p>
    <w:p>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7、若发现某批次有石块，根据实际情况随机抽取（车拉过磅），按石块占比进行扣减：石块/（煤炭+石头过磅吨位）0.1‰～0.5‰（含），扣除此批次吨位1‰。石块/（煤炭+石头过磅吨位）0.5‰～1‰（含），扣除此批次吨位2‰。石块/（煤炭+石头过磅吨位）＞1‰，拒收。</w:t>
      </w:r>
    </w:p>
    <w:p>
      <w:pPr>
        <w:numPr>
          <w:ilvl w:val="0"/>
          <w:numId w:val="0"/>
        </w:numPr>
        <w:adjustRightInd w:val="0"/>
        <w:snapToGrid w:val="0"/>
        <w:rPr>
          <w:rFonts w:hint="eastAsia" w:ascii="楷体" w:hAnsi="楷体" w:eastAsia="楷体" w:cs="楷体"/>
          <w:color w:val="auto"/>
          <w:sz w:val="28"/>
          <w:szCs w:val="28"/>
          <w:lang w:val="en-US" w:eastAsia="zh-CN"/>
        </w:rPr>
      </w:pPr>
      <w:r>
        <w:rPr>
          <w:rFonts w:hint="eastAsia" w:ascii="楷体" w:hAnsi="楷体" w:eastAsia="楷体" w:cs="楷体"/>
          <w:color w:val="FF0000"/>
          <w:sz w:val="28"/>
          <w:szCs w:val="28"/>
          <w:lang w:val="en-US" w:eastAsia="zh-CN"/>
        </w:rPr>
        <w:t xml:space="preserve">   </w:t>
      </w:r>
      <w:r>
        <w:rPr>
          <w:rFonts w:hint="eastAsia" w:ascii="楷体" w:hAnsi="楷体" w:eastAsia="楷体" w:cs="楷体"/>
          <w:color w:val="auto"/>
          <w:sz w:val="28"/>
          <w:szCs w:val="28"/>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 w:val="28"/>
          <w:szCs w:val="28"/>
          <w:lang w:val="en-US" w:eastAsia="zh-CN"/>
        </w:rPr>
      </w:pPr>
    </w:p>
    <w:p>
      <w:pPr>
        <w:adjustRightInd w:val="0"/>
        <w:snapToGrid w:val="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五</w:t>
      </w:r>
      <w:r>
        <w:rPr>
          <w:rFonts w:hint="eastAsia" w:ascii="楷体" w:hAnsi="楷体" w:eastAsia="楷体" w:cs="楷体"/>
          <w:b/>
          <w:bCs/>
          <w:sz w:val="28"/>
          <w:szCs w:val="28"/>
        </w:rPr>
        <w:t>、</w:t>
      </w:r>
      <w:r>
        <w:rPr>
          <w:rFonts w:hint="eastAsia" w:ascii="楷体" w:hAnsi="楷体" w:eastAsia="楷体" w:cs="楷体"/>
          <w:b/>
          <w:bCs/>
          <w:sz w:val="28"/>
          <w:szCs w:val="28"/>
          <w:lang w:eastAsia="zh-CN"/>
        </w:rPr>
        <w:t>合同期限、</w:t>
      </w:r>
      <w:r>
        <w:rPr>
          <w:rFonts w:hint="eastAsia" w:ascii="楷体" w:hAnsi="楷体" w:eastAsia="楷体" w:cs="楷体"/>
          <w:b/>
          <w:bCs/>
          <w:sz w:val="28"/>
          <w:szCs w:val="28"/>
        </w:rPr>
        <w:t>交货方式</w:t>
      </w:r>
      <w:r>
        <w:rPr>
          <w:rFonts w:hint="eastAsia" w:ascii="楷体" w:hAnsi="楷体" w:eastAsia="楷体" w:cs="楷体"/>
          <w:b/>
          <w:bCs/>
          <w:sz w:val="28"/>
          <w:szCs w:val="28"/>
          <w:lang w:eastAsia="zh-CN"/>
        </w:rPr>
        <w:t>、</w:t>
      </w:r>
      <w:r>
        <w:rPr>
          <w:rFonts w:hint="eastAsia" w:ascii="楷体" w:hAnsi="楷体" w:eastAsia="楷体" w:cs="楷体"/>
          <w:b/>
          <w:bCs/>
          <w:sz w:val="28"/>
          <w:szCs w:val="28"/>
        </w:rPr>
        <w:t>时间</w:t>
      </w:r>
      <w:r>
        <w:rPr>
          <w:rFonts w:hint="eastAsia" w:ascii="楷体" w:hAnsi="楷体" w:eastAsia="楷体" w:cs="楷体"/>
          <w:b/>
          <w:bCs/>
          <w:sz w:val="28"/>
          <w:szCs w:val="28"/>
          <w:lang w:val="en-US" w:eastAsia="zh-CN"/>
        </w:rPr>
        <w:t>及地点</w:t>
      </w:r>
    </w:p>
    <w:p>
      <w:pPr>
        <w:numPr>
          <w:ilvl w:val="0"/>
          <w:numId w:val="0"/>
        </w:num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（一）合同期限：合同期限为：2022年02月01日－2022年12月31日；</w:t>
      </w:r>
    </w:p>
    <w:p>
      <w:pPr>
        <w:numPr>
          <w:ilvl w:val="0"/>
          <w:numId w:val="0"/>
        </w:numPr>
        <w:ind w:firstLine="560" w:firstLineChars="200"/>
        <w:rPr>
          <w:rFonts w:hint="eastAsia" w:ascii="楷体" w:hAnsi="楷体" w:eastAsia="楷体" w:cs="楷体"/>
          <w:b w:val="0"/>
          <w:bCs/>
          <w:sz w:val="28"/>
          <w:szCs w:val="28"/>
          <w:lang w:eastAsia="zh-CN"/>
        </w:rPr>
      </w:pPr>
      <w:r>
        <w:rPr>
          <w:rFonts w:hint="eastAsia" w:ascii="楷体" w:hAnsi="楷体" w:eastAsia="楷体" w:cs="楷体"/>
          <w:sz w:val="28"/>
          <w:szCs w:val="28"/>
          <w:lang w:val="en-US" w:eastAsia="zh-CN"/>
        </w:rPr>
        <w:t>（二）交货时间：</w:t>
      </w:r>
      <w:r>
        <w:rPr>
          <w:rFonts w:hint="eastAsia" w:ascii="楷体" w:hAnsi="楷体" w:eastAsia="楷体" w:cs="楷体"/>
          <w:b w:val="0"/>
          <w:bCs/>
          <w:sz w:val="28"/>
          <w:szCs w:val="28"/>
        </w:rPr>
        <w:t>本合同约定交货时间为</w:t>
      </w:r>
      <w:r>
        <w:rPr>
          <w:rFonts w:hint="eastAsia" w:ascii="楷体" w:hAnsi="楷体" w:eastAsia="楷体" w:cs="楷体"/>
          <w:b w:val="0"/>
          <w:bCs/>
          <w:sz w:val="28"/>
          <w:szCs w:val="28"/>
          <w:lang w:val="en-US" w:eastAsia="zh-CN"/>
        </w:rPr>
        <w:t>每月1日</w:t>
      </w:r>
      <w:r>
        <w:rPr>
          <w:rFonts w:hint="eastAsia" w:ascii="楷体" w:hAnsi="楷体" w:eastAsia="楷体" w:cs="楷体"/>
          <w:b w:val="0"/>
          <w:bCs/>
          <w:sz w:val="28"/>
          <w:szCs w:val="28"/>
          <w:lang w:eastAsia="zh-CN"/>
        </w:rPr>
        <w:t>到月底</w:t>
      </w:r>
      <w:r>
        <w:rPr>
          <w:rFonts w:hint="eastAsia" w:ascii="楷体" w:hAnsi="楷体" w:eastAsia="楷体" w:cs="楷体"/>
          <w:b w:val="0"/>
          <w:bCs/>
          <w:sz w:val="28"/>
          <w:szCs w:val="28"/>
        </w:rPr>
        <w:t xml:space="preserve"> (具体</w:t>
      </w:r>
      <w:r>
        <w:rPr>
          <w:rFonts w:hint="eastAsia" w:ascii="楷体" w:hAnsi="楷体" w:eastAsia="楷体" w:cs="楷体"/>
          <w:b w:val="0"/>
          <w:bCs/>
          <w:sz w:val="28"/>
          <w:szCs w:val="28"/>
          <w:lang w:val="en-US" w:eastAsia="zh-CN"/>
        </w:rPr>
        <w:t>每批次</w:t>
      </w:r>
      <w:r>
        <w:rPr>
          <w:rFonts w:hint="eastAsia" w:ascii="楷体" w:hAnsi="楷体" w:eastAsia="楷体" w:cs="楷体"/>
          <w:b w:val="0"/>
          <w:bCs/>
          <w:sz w:val="28"/>
          <w:szCs w:val="28"/>
        </w:rPr>
        <w:t>到货时间及数量</w:t>
      </w:r>
      <w:r>
        <w:rPr>
          <w:rFonts w:hint="eastAsia" w:ascii="楷体" w:hAnsi="楷体" w:eastAsia="楷体" w:cs="楷体"/>
          <w:b w:val="0"/>
          <w:bCs/>
          <w:sz w:val="28"/>
          <w:szCs w:val="28"/>
          <w:lang w:val="en-US" w:eastAsia="zh-CN"/>
        </w:rPr>
        <w:t>以</w:t>
      </w:r>
      <w:r>
        <w:rPr>
          <w:rFonts w:hint="eastAsia" w:ascii="楷体" w:hAnsi="楷体" w:eastAsia="楷体" w:cs="楷体"/>
          <w:b w:val="0"/>
          <w:bCs/>
          <w:sz w:val="28"/>
          <w:szCs w:val="28"/>
        </w:rPr>
        <w:t>需方通知</w:t>
      </w:r>
      <w:r>
        <w:rPr>
          <w:rFonts w:hint="eastAsia" w:ascii="楷体" w:hAnsi="楷体" w:eastAsia="楷体" w:cs="楷体"/>
          <w:b w:val="0"/>
          <w:bCs/>
          <w:sz w:val="28"/>
          <w:szCs w:val="28"/>
          <w:lang w:val="en-US" w:eastAsia="zh-CN"/>
        </w:rPr>
        <w:t>为准</w:t>
      </w:r>
      <w:r>
        <w:rPr>
          <w:rFonts w:hint="eastAsia" w:ascii="楷体" w:hAnsi="楷体" w:eastAsia="楷体" w:cs="楷体"/>
          <w:b w:val="0"/>
          <w:bCs/>
          <w:sz w:val="28"/>
          <w:szCs w:val="28"/>
        </w:rPr>
        <w:t>)，逾期需方有权拒收</w:t>
      </w:r>
      <w:r>
        <w:rPr>
          <w:rFonts w:hint="eastAsia" w:ascii="楷体" w:hAnsi="楷体" w:eastAsia="楷体" w:cs="楷体"/>
          <w:b w:val="0"/>
          <w:bCs/>
          <w:sz w:val="28"/>
          <w:szCs w:val="28"/>
          <w:lang w:eastAsia="zh-CN"/>
        </w:rPr>
        <w:t>。</w:t>
      </w:r>
    </w:p>
    <w:p>
      <w:pPr>
        <w:numPr>
          <w:ilvl w:val="0"/>
          <w:numId w:val="0"/>
        </w:numPr>
        <w:ind w:firstLine="560" w:firstLineChars="200"/>
        <w:rPr>
          <w:rFonts w:hint="eastAsia" w:ascii="楷体" w:hAnsi="楷体" w:eastAsia="楷体" w:cs="楷体"/>
          <w:b w:val="0"/>
          <w:bCs/>
          <w:sz w:val="28"/>
          <w:szCs w:val="28"/>
          <w:lang w:val="en-US" w:eastAsia="zh-CN"/>
        </w:rPr>
      </w:pPr>
      <w:r>
        <w:rPr>
          <w:rFonts w:hint="eastAsia" w:ascii="楷体" w:hAnsi="楷体" w:eastAsia="楷体" w:cs="楷体"/>
          <w:b w:val="0"/>
          <w:bCs/>
          <w:sz w:val="28"/>
          <w:szCs w:val="28"/>
          <w:lang w:val="en-US" w:eastAsia="zh-CN"/>
        </w:rPr>
        <w:t>（三）交货地点：</w:t>
      </w:r>
      <w:r>
        <w:rPr>
          <w:rFonts w:hint="eastAsia" w:ascii="楷体" w:hAnsi="楷体" w:eastAsia="楷体" w:cs="楷体"/>
          <w:b w:val="0"/>
          <w:bCs/>
          <w:sz w:val="28"/>
          <w:szCs w:val="28"/>
          <w:u w:val="none"/>
          <w:lang w:val="en-US" w:eastAsia="zh-CN"/>
        </w:rPr>
        <w:t>如东洋口环保热电有限公司公司码头。</w:t>
      </w:r>
    </w:p>
    <w:p>
      <w:pPr>
        <w:numPr>
          <w:ilvl w:val="0"/>
          <w:numId w:val="0"/>
        </w:numPr>
        <w:ind w:firstLine="560" w:firstLineChars="200"/>
        <w:rPr>
          <w:rFonts w:hint="eastAsia" w:ascii="楷体" w:hAnsi="楷体" w:eastAsia="楷体" w:cs="楷体"/>
          <w:b w:val="0"/>
          <w:bCs/>
          <w:sz w:val="28"/>
          <w:szCs w:val="28"/>
          <w:lang w:val="en-US" w:eastAsia="zh-CN"/>
        </w:rPr>
      </w:pPr>
      <w:r>
        <w:rPr>
          <w:rFonts w:hint="eastAsia" w:ascii="楷体" w:hAnsi="楷体" w:eastAsia="楷体" w:cs="楷体"/>
          <w:sz w:val="28"/>
          <w:szCs w:val="28"/>
          <w:lang w:val="en-US" w:eastAsia="zh-CN"/>
        </w:rPr>
        <w:t>（四） 供方在煤炭发运前应通知</w:t>
      </w:r>
      <w:r>
        <w:rPr>
          <w:rFonts w:hint="eastAsia" w:ascii="楷体" w:hAnsi="楷体" w:eastAsia="楷体" w:cs="楷体"/>
          <w:b w:val="0"/>
          <w:bCs/>
          <w:sz w:val="28"/>
          <w:szCs w:val="28"/>
        </w:rPr>
        <w:t>需方，需方有权根据需要派化验员去供方的煤炭储存处，对供方准备发往需方的煤炭进行取样化验，化验结果表明煤炭品质</w:t>
      </w:r>
      <w:r>
        <w:rPr>
          <w:rFonts w:hint="eastAsia" w:ascii="楷体" w:hAnsi="楷体" w:eastAsia="楷体" w:cs="楷体"/>
          <w:b w:val="0"/>
          <w:bCs/>
          <w:sz w:val="28"/>
          <w:szCs w:val="28"/>
          <w:lang w:val="en-US" w:eastAsia="zh-CN"/>
        </w:rPr>
        <w:t>不</w:t>
      </w:r>
      <w:r>
        <w:rPr>
          <w:rFonts w:hint="eastAsia" w:ascii="楷体" w:hAnsi="楷体" w:eastAsia="楷体" w:cs="楷体"/>
          <w:b w:val="0"/>
          <w:bCs/>
          <w:sz w:val="28"/>
          <w:szCs w:val="28"/>
        </w:rPr>
        <w:t>符合需方要求，</w:t>
      </w:r>
      <w:r>
        <w:rPr>
          <w:rFonts w:hint="eastAsia" w:ascii="楷体" w:hAnsi="楷体" w:eastAsia="楷体" w:cs="楷体"/>
          <w:b w:val="0"/>
          <w:bCs/>
          <w:sz w:val="28"/>
          <w:szCs w:val="28"/>
          <w:lang w:val="en-US" w:eastAsia="zh-CN"/>
        </w:rPr>
        <w:t>需方有权要求供方停止发货。该条款不免除供方煤炭到交货地点后的化验结果责任。</w:t>
      </w:r>
    </w:p>
    <w:p>
      <w:pPr>
        <w:ind w:firstLine="560" w:firstLineChars="200"/>
        <w:jc w:val="both"/>
        <w:rPr>
          <w:rFonts w:hint="eastAsia" w:ascii="楷体" w:hAnsi="楷体" w:eastAsia="楷体" w:cs="楷体"/>
          <w:b w:val="0"/>
          <w:bCs/>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四</w:t>
      </w:r>
      <w:r>
        <w:rPr>
          <w:rFonts w:hint="eastAsia" w:ascii="楷体" w:hAnsi="楷体" w:eastAsia="楷体" w:cs="楷体"/>
          <w:sz w:val="28"/>
          <w:szCs w:val="28"/>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sz w:val="28"/>
          <w:szCs w:val="28"/>
          <w:lang w:val="en-US" w:eastAsia="zh-CN"/>
        </w:rPr>
        <w:t xml:space="preserve">责任由供方承担 </w:t>
      </w:r>
      <w:r>
        <w:rPr>
          <w:rFonts w:hint="eastAsia" w:ascii="楷体" w:hAnsi="楷体" w:eastAsia="楷体" w:cs="楷体"/>
          <w:sz w:val="28"/>
          <w:szCs w:val="28"/>
          <w:lang w:eastAsia="zh-CN"/>
        </w:rPr>
        <w:t>。</w:t>
      </w:r>
    </w:p>
    <w:p>
      <w:pPr>
        <w:adjustRightInd w:val="0"/>
        <w:snapToGrid w:val="0"/>
        <w:ind w:left="180" w:firstLine="420" w:firstLineChars="150"/>
        <w:rPr>
          <w:rFonts w:hint="eastAsia" w:ascii="楷体" w:hAnsi="楷体" w:eastAsia="楷体" w:cs="楷体"/>
          <w:sz w:val="28"/>
          <w:szCs w:val="28"/>
        </w:rPr>
      </w:pPr>
    </w:p>
    <w:p>
      <w:pPr>
        <w:numPr>
          <w:ilvl w:val="0"/>
          <w:numId w:val="0"/>
        </w:numPr>
        <w:textAlignment w:val="baseline"/>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六、</w:t>
      </w:r>
      <w:r>
        <w:rPr>
          <w:rFonts w:hint="eastAsia" w:ascii="楷体" w:hAnsi="楷体" w:eastAsia="楷体" w:cs="楷体"/>
          <w:b/>
          <w:bCs/>
          <w:sz w:val="28"/>
          <w:szCs w:val="28"/>
        </w:rPr>
        <w:t>验收</w:t>
      </w:r>
      <w:r>
        <w:rPr>
          <w:rFonts w:hint="eastAsia" w:ascii="楷体" w:hAnsi="楷体" w:eastAsia="楷体" w:cs="楷体"/>
          <w:b/>
          <w:bCs/>
          <w:sz w:val="28"/>
          <w:szCs w:val="28"/>
          <w:lang w:val="en-US" w:eastAsia="zh-CN"/>
        </w:rPr>
        <w:t>方式</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（一）数量的验收</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1、煤炭数量验收按如东洋口环保热电有限公司计量衡器数据为准，供需双方派员监磅，称重码单应由双方监磅人员共同签字认可。</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2、需方根据需要有权对来煤中石块、煤矸石含有率进行抽查，并根据抽查结果按上述条款四.（二）.7执行。</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3、供方对需方皮带秤、地磅等计量衡器准确性有争议，要求校验，供方必须以书面形式提出争议的问题。校验工作由供需双方认可的有资质的第三方来进行校验。如果供需双方认可的有资质的第三方校验结果表明公司计量衡器的偏差在国家允许范围内（汽车衡允许偏差±3‰，皮带秤允许偏差±5‰），则供方承担检测费用；否则需方承担检测费用，且偏差值部分进行补扣吨位。</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5、结算数量为根据本合同上述条款所述供需双方确定认可的数量。</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（二）质量的验收</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质量指标以南通赛孚燃料检验有限公司化验结果为准，供方（或任一方）对检验结果中煤炭低位发热量如有异议可在三日内以书面形式提出，并由双发共同将原煤封存样送供需双方认可的有资质的第三方检验（煤质水分指标仍按原检验结果）。该机构的检验结果作为最终结果，若与南通赛孚燃料检验有限公司的检验结果误差大于 100大卡时，以该机构的检验结果为结算依据，检验费用由非提出方承担；检验结果误差在100大卡以内时，仍以南通赛孚燃料检验有限公司的检验结果为结算依据，检验费用由提出方承担。</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如果供方（或任一方）在得到南通赛孚燃料检验有限公司化验结果通知的三日内提出除发热量及全水以外的其它指标的化验争议，按照供需双方认可的有资质的第三方出具的质量检验报告办理结算单。如果南通赛孚燃料检验有限公司化验的指标与该机构所出具的报告指标在国家标准允许偏差范围内，费用由提出方承担。</w:t>
      </w:r>
    </w:p>
    <w:p>
      <w:pPr>
        <w:widowControl/>
        <w:ind w:firstLine="560"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560" w:firstLineChars="200"/>
        <w:jc w:val="left"/>
        <w:rPr>
          <w:rFonts w:hint="eastAsia" w:ascii="楷体" w:hAnsi="楷体" w:eastAsia="楷体" w:cs="楷体"/>
          <w:b w:val="0"/>
          <w:bCs/>
          <w:sz w:val="28"/>
          <w:szCs w:val="28"/>
        </w:rPr>
      </w:pPr>
      <w:r>
        <w:rPr>
          <w:rFonts w:hint="eastAsia" w:ascii="楷体" w:hAnsi="楷体" w:eastAsia="楷体" w:cs="楷体"/>
          <w:sz w:val="28"/>
          <w:szCs w:val="28"/>
          <w:lang w:val="en-US" w:eastAsia="zh-CN"/>
        </w:rPr>
        <w:t>3、在卸煤过程中，如发现供方有违规嫌疑，对有违规嫌疑的运输工具，需方有权增加取样次数。需方须提前2小时通知供方取样的时间、地点，在需方已经将取样的时间、地点告之供方而供方没有能够按时到达取样现场，不管供方何种原因都视同供方认可需方这次取样的相关操作及化验结果，此化验结果将作为此批次煤的结算依据。</w:t>
      </w:r>
    </w:p>
    <w:p>
      <w:pPr>
        <w:widowControl/>
        <w:ind w:firstLine="560" w:firstLineChars="200"/>
        <w:jc w:val="left"/>
        <w:rPr>
          <w:rFonts w:hint="eastAsia" w:ascii="楷体" w:hAnsi="楷体" w:eastAsia="楷体" w:cs="楷体"/>
          <w:b w:val="0"/>
          <w:bCs/>
          <w:sz w:val="28"/>
          <w:szCs w:val="28"/>
        </w:rPr>
      </w:pPr>
    </w:p>
    <w:p>
      <w:pPr>
        <w:numPr>
          <w:ilvl w:val="0"/>
          <w:numId w:val="0"/>
        </w:numPr>
        <w:jc w:val="both"/>
        <w:rPr>
          <w:rFonts w:hint="eastAsia" w:ascii="楷体" w:hAnsi="楷体" w:eastAsia="楷体" w:cs="楷体"/>
          <w:b/>
          <w:sz w:val="28"/>
          <w:szCs w:val="28"/>
          <w:lang w:eastAsia="zh-CN"/>
        </w:rPr>
      </w:pPr>
      <w:r>
        <w:rPr>
          <w:rFonts w:hint="eastAsia" w:ascii="楷体" w:hAnsi="楷体" w:eastAsia="楷体" w:cs="楷体"/>
          <w:b/>
          <w:sz w:val="28"/>
          <w:szCs w:val="28"/>
          <w:lang w:val="en-US" w:eastAsia="zh-CN"/>
        </w:rPr>
        <w:t>七、</w:t>
      </w:r>
      <w:r>
        <w:rPr>
          <w:rFonts w:hint="eastAsia" w:ascii="楷体" w:hAnsi="楷体" w:eastAsia="楷体" w:cs="楷体"/>
          <w:b/>
          <w:sz w:val="28"/>
          <w:szCs w:val="28"/>
          <w:lang w:eastAsia="zh-CN"/>
        </w:rPr>
        <w:t>现场装卸</w:t>
      </w:r>
    </w:p>
    <w:p>
      <w:pPr>
        <w:widowControl/>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（一）供方将煤炭运至交货地点前 3 天内应通知需方，按照需方排定的时间到达指定地点后，需方及时组织卸煤，因煤炭品质、数量问题，以及不可抗力因素造成不能及时卸煤，需方无需承担责任。</w:t>
      </w:r>
    </w:p>
    <w:p>
      <w:pPr>
        <w:widowControl/>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　（二）卸煤时供方人员应遵守需方相关管理制度，供方每违反一次，应向需方支付人民币伍佰元。如因供方原因造成一方或双方人身财产损失，由供方承担责任。</w:t>
      </w:r>
    </w:p>
    <w:p>
      <w:pPr>
        <w:widowControl/>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（三）因供方交货煤炭中的任何其他杂物给需方造成设备损失的由供方承担赔偿责任，同时扣除杂质5倍的计量重量。</w:t>
      </w:r>
    </w:p>
    <w:p>
      <w:pPr>
        <w:widowControl/>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（四）供方煤炭卸入需方储煤场后经检验煤炭质量未达合同约定的质量标准，需方有权拒收，需方拒收的煤炭，供方应在 7 日内运出，费用由供方承担。否则按照每延迟一天向需方支付人民币伍仟元场地费，延迟超过10天该批煤炭由需方自行处置，由此造成的损失均由供方承担。</w:t>
      </w:r>
    </w:p>
    <w:p>
      <w:pPr>
        <w:widowControl/>
        <w:jc w:val="left"/>
        <w:rPr>
          <w:rFonts w:hint="eastAsia" w:ascii="楷体" w:hAnsi="楷体" w:eastAsia="楷体" w:cs="楷体"/>
          <w:sz w:val="28"/>
          <w:szCs w:val="28"/>
          <w:lang w:val="en-US" w:eastAsia="zh-CN"/>
        </w:rPr>
      </w:pPr>
    </w:p>
    <w:p>
      <w:pPr>
        <w:numPr>
          <w:ilvl w:val="0"/>
          <w:numId w:val="0"/>
        </w:numPr>
        <w:ind w:leftChars="0"/>
        <w:textAlignment w:val="baseline"/>
        <w:rPr>
          <w:rFonts w:hint="eastAsia" w:ascii="楷体" w:hAnsi="楷体" w:eastAsia="楷体" w:cs="楷体"/>
          <w:b/>
          <w:bCs/>
          <w:sz w:val="28"/>
          <w:szCs w:val="28"/>
        </w:rPr>
      </w:pPr>
      <w:r>
        <w:rPr>
          <w:rFonts w:hint="eastAsia" w:ascii="楷体" w:hAnsi="楷体" w:eastAsia="楷体" w:cs="楷体"/>
          <w:b/>
          <w:bCs/>
          <w:sz w:val="28"/>
          <w:szCs w:val="28"/>
          <w:lang w:val="en-US" w:eastAsia="zh-CN"/>
        </w:rPr>
        <w:t>八、</w:t>
      </w:r>
      <w:r>
        <w:rPr>
          <w:rFonts w:hint="eastAsia" w:ascii="楷体" w:hAnsi="楷体" w:eastAsia="楷体" w:cs="楷体"/>
          <w:b/>
          <w:bCs/>
          <w:sz w:val="28"/>
          <w:szCs w:val="28"/>
        </w:rPr>
        <w:t>结算与付款</w:t>
      </w:r>
    </w:p>
    <w:p>
      <w:pPr>
        <w:ind w:firstLine="280" w:firstLineChars="1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（一）本合同确认的结算价格（小数点后保留两位）均为包括运费等在内的含税价，实行一票结算。 </w:t>
      </w:r>
    </w:p>
    <w:p>
      <w:pPr>
        <w:ind w:firstLine="280" w:firstLineChars="1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供需双方在本合同内，以每月的煤炭验收完为一个结算期。需方将按照供需双方最终认可的质量、数量及当月基准价格，编制出结算单（一个结算周期内煤炭按各批次检验指标加权平均值进行结算），供需双方签字盖章确认。</w:t>
      </w:r>
    </w:p>
    <w:p>
      <w:pPr>
        <w:ind w:firstLine="280" w:firstLineChars="1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560" w:firstLineChars="200"/>
        <w:textAlignment w:val="baseline"/>
        <w:rPr>
          <w:rFonts w:hint="eastAsia" w:ascii="楷体" w:hAnsi="楷体" w:eastAsia="楷体" w:cs="楷体"/>
          <w:sz w:val="28"/>
          <w:szCs w:val="28"/>
        </w:rPr>
      </w:pPr>
    </w:p>
    <w:p>
      <w:pPr>
        <w:textAlignment w:val="baseline"/>
        <w:rPr>
          <w:rFonts w:hint="eastAsia" w:ascii="楷体" w:hAnsi="楷体" w:eastAsia="楷体" w:cs="楷体"/>
          <w:b/>
          <w:bCs/>
          <w:sz w:val="28"/>
          <w:szCs w:val="28"/>
        </w:rPr>
      </w:pPr>
      <w:r>
        <w:rPr>
          <w:rFonts w:hint="eastAsia" w:ascii="楷体" w:hAnsi="楷体" w:eastAsia="楷体" w:cs="楷体"/>
          <w:b/>
          <w:bCs/>
          <w:sz w:val="28"/>
          <w:szCs w:val="28"/>
          <w:lang w:val="en-US" w:eastAsia="zh-CN"/>
        </w:rPr>
        <w:t>九</w:t>
      </w:r>
      <w:r>
        <w:rPr>
          <w:rFonts w:hint="eastAsia" w:ascii="楷体" w:hAnsi="楷体" w:eastAsia="楷体" w:cs="楷体"/>
          <w:b/>
          <w:bCs/>
          <w:sz w:val="28"/>
          <w:szCs w:val="28"/>
        </w:rPr>
        <w:t>、违约责任</w:t>
      </w:r>
    </w:p>
    <w:p>
      <w:pPr>
        <w:ind w:firstLine="280" w:firstLineChars="100"/>
        <w:rPr>
          <w:rFonts w:hint="eastAsia" w:ascii="楷体" w:hAnsi="楷体" w:eastAsia="楷体" w:cs="楷体"/>
          <w:b w:val="0"/>
          <w:bCs/>
          <w:sz w:val="28"/>
          <w:szCs w:val="28"/>
          <w:lang w:eastAsia="zh-CN"/>
        </w:rPr>
      </w:pPr>
      <w:r>
        <w:rPr>
          <w:rFonts w:hint="eastAsia" w:ascii="楷体" w:hAnsi="楷体" w:eastAsia="楷体" w:cs="楷体"/>
          <w:sz w:val="28"/>
          <w:szCs w:val="28"/>
          <w:lang w:val="en-US" w:eastAsia="zh-CN"/>
        </w:rPr>
        <w:t>（一）</w:t>
      </w:r>
      <w:r>
        <w:rPr>
          <w:rFonts w:hint="eastAsia" w:ascii="楷体" w:hAnsi="楷体" w:eastAsia="楷体" w:cs="楷体"/>
          <w:b w:val="0"/>
          <w:bCs/>
          <w:sz w:val="28"/>
          <w:szCs w:val="28"/>
        </w:rPr>
        <w:t>关于</w:t>
      </w:r>
      <w:r>
        <w:rPr>
          <w:rFonts w:hint="eastAsia" w:ascii="楷体" w:hAnsi="楷体" w:eastAsia="楷体" w:cs="楷体"/>
          <w:b w:val="0"/>
          <w:bCs/>
          <w:sz w:val="28"/>
          <w:szCs w:val="28"/>
          <w:lang w:val="en-US" w:eastAsia="zh-CN"/>
        </w:rPr>
        <w:t>履约</w:t>
      </w:r>
      <w:r>
        <w:rPr>
          <w:rFonts w:hint="eastAsia" w:ascii="楷体" w:hAnsi="楷体" w:eastAsia="楷体" w:cs="楷体"/>
          <w:b w:val="0"/>
          <w:bCs/>
          <w:sz w:val="28"/>
          <w:szCs w:val="28"/>
        </w:rPr>
        <w:t>保证金：在签订本合</w:t>
      </w:r>
      <w:r>
        <w:rPr>
          <w:rFonts w:hint="eastAsia" w:ascii="楷体" w:hAnsi="楷体" w:eastAsia="楷体" w:cs="楷体"/>
          <w:b w:val="0"/>
          <w:bCs/>
          <w:sz w:val="28"/>
          <w:szCs w:val="28"/>
          <w:lang w:val="en-US" w:eastAsia="zh-CN"/>
        </w:rPr>
        <w:t>同前</w:t>
      </w:r>
      <w:r>
        <w:rPr>
          <w:rFonts w:hint="eastAsia" w:ascii="楷体" w:hAnsi="楷体" w:eastAsia="楷体" w:cs="楷体"/>
          <w:b w:val="0"/>
          <w:bCs/>
          <w:sz w:val="28"/>
          <w:szCs w:val="28"/>
        </w:rPr>
        <w:t>供方付给需方履约保证金人民币</w:t>
      </w:r>
      <w:r>
        <w:rPr>
          <w:rFonts w:hint="eastAsia" w:ascii="楷体" w:hAnsi="楷体" w:eastAsia="楷体" w:cs="楷体"/>
          <w:b w:val="0"/>
          <w:bCs/>
          <w:sz w:val="28"/>
          <w:szCs w:val="28"/>
          <w:u w:val="single"/>
        </w:rPr>
        <w:t xml:space="preserve"> </w:t>
      </w:r>
      <w:r>
        <w:rPr>
          <w:rFonts w:hint="eastAsia" w:ascii="楷体" w:hAnsi="楷体" w:eastAsia="楷体" w:cs="楷体"/>
          <w:b w:val="0"/>
          <w:bCs/>
          <w:sz w:val="28"/>
          <w:szCs w:val="28"/>
          <w:u w:val="single"/>
          <w:lang w:val="en-US" w:eastAsia="zh-CN"/>
        </w:rPr>
        <w:t xml:space="preserve"> 肆拾 </w:t>
      </w:r>
      <w:r>
        <w:rPr>
          <w:rFonts w:hint="eastAsia" w:ascii="楷体" w:hAnsi="楷体" w:eastAsia="楷体" w:cs="楷体"/>
          <w:b w:val="0"/>
          <w:bCs/>
          <w:sz w:val="28"/>
          <w:szCs w:val="28"/>
          <w:u w:val="single"/>
        </w:rPr>
        <w:t xml:space="preserve"> </w:t>
      </w:r>
      <w:r>
        <w:rPr>
          <w:rFonts w:hint="eastAsia" w:ascii="楷体" w:hAnsi="楷体" w:eastAsia="楷体" w:cs="楷体"/>
          <w:b w:val="0"/>
          <w:bCs/>
          <w:sz w:val="28"/>
          <w:szCs w:val="28"/>
        </w:rPr>
        <w:t>万元</w:t>
      </w:r>
      <w:r>
        <w:rPr>
          <w:rFonts w:hint="eastAsia" w:ascii="楷体" w:hAnsi="楷体" w:eastAsia="楷体" w:cs="楷体"/>
          <w:b w:val="0"/>
          <w:bCs/>
          <w:sz w:val="28"/>
          <w:szCs w:val="28"/>
          <w:lang w:eastAsia="zh-CN"/>
        </w:rPr>
        <w:t>，</w:t>
      </w:r>
      <w:r>
        <w:rPr>
          <w:rFonts w:hint="eastAsia" w:ascii="楷体" w:hAnsi="楷体" w:eastAsia="楷体" w:cs="楷体"/>
          <w:sz w:val="28"/>
          <w:szCs w:val="28"/>
          <w:lang w:val="en-US" w:eastAsia="zh-CN"/>
        </w:rPr>
        <w:t>合同履行完毕且在双方无任何争议的情况下无息退还。</w:t>
      </w:r>
    </w:p>
    <w:p>
      <w:pPr>
        <w:ind w:firstLine="280" w:firstLineChars="100"/>
        <w:rPr>
          <w:rFonts w:hint="eastAsia" w:ascii="楷体" w:hAnsi="楷体" w:eastAsia="楷体" w:cs="楷体"/>
          <w:b w:val="0"/>
          <w:bCs/>
          <w:sz w:val="28"/>
          <w:szCs w:val="28"/>
          <w:lang w:eastAsia="zh-CN"/>
        </w:rPr>
      </w:pP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二</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关于质量：供方所供煤炭质量如经检验达</w:t>
      </w:r>
      <w:r>
        <w:rPr>
          <w:rFonts w:hint="eastAsia" w:ascii="楷体" w:hAnsi="楷体" w:eastAsia="楷体" w:cs="楷体"/>
          <w:b w:val="0"/>
          <w:bCs/>
          <w:sz w:val="28"/>
          <w:szCs w:val="28"/>
          <w:lang w:val="en-US" w:eastAsia="zh-CN"/>
        </w:rPr>
        <w:t>到拒收条款时</w:t>
      </w:r>
      <w:r>
        <w:rPr>
          <w:rFonts w:hint="eastAsia" w:ascii="楷体" w:hAnsi="楷体" w:eastAsia="楷体" w:cs="楷体"/>
          <w:b w:val="0"/>
          <w:bCs/>
          <w:sz w:val="28"/>
          <w:szCs w:val="28"/>
        </w:rPr>
        <w:t>,需方有权拒收该批煤炭。若供方所供的不合格煤炭</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达到拒收条款</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数量已经达到本合同数量的20％，则需方有权终止合同，经书面、邮件或传真通知供方即生效</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且供方应向需方支付已供货价款百分之三十的违约金且承担需方因解除本合同而遭受的一切损失。</w:t>
      </w:r>
    </w:p>
    <w:p>
      <w:pPr>
        <w:ind w:firstLine="280" w:firstLineChars="100"/>
        <w:rPr>
          <w:rFonts w:hint="eastAsia" w:ascii="楷体" w:hAnsi="楷体" w:eastAsia="楷体" w:cs="楷体"/>
          <w:b w:val="0"/>
          <w:bCs/>
          <w:sz w:val="28"/>
          <w:szCs w:val="28"/>
          <w:lang w:val="en-US"/>
        </w:rPr>
      </w:pP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三</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关于</w:t>
      </w:r>
      <w:r>
        <w:rPr>
          <w:rFonts w:hint="eastAsia" w:ascii="楷体" w:hAnsi="楷体" w:eastAsia="楷体" w:cs="楷体"/>
          <w:b w:val="0"/>
          <w:bCs/>
          <w:sz w:val="28"/>
          <w:szCs w:val="28"/>
          <w:lang w:val="en-US" w:eastAsia="zh-CN"/>
        </w:rPr>
        <w:t>供货时间</w:t>
      </w:r>
      <w:r>
        <w:rPr>
          <w:rFonts w:hint="eastAsia" w:ascii="楷体" w:hAnsi="楷体" w:eastAsia="楷体" w:cs="楷体"/>
          <w:b w:val="0"/>
          <w:bCs/>
          <w:sz w:val="28"/>
          <w:szCs w:val="28"/>
        </w:rPr>
        <w:t>：供方</w:t>
      </w:r>
      <w:r>
        <w:rPr>
          <w:rFonts w:hint="eastAsia" w:ascii="楷体" w:hAnsi="楷体" w:eastAsia="楷体" w:cs="楷体"/>
          <w:b w:val="0"/>
          <w:bCs/>
          <w:sz w:val="28"/>
          <w:szCs w:val="28"/>
          <w:lang w:val="en-US" w:eastAsia="zh-CN"/>
        </w:rPr>
        <w:t>每批次煤炭供货时间</w:t>
      </w:r>
      <w:r>
        <w:rPr>
          <w:rFonts w:hint="eastAsia" w:ascii="楷体" w:hAnsi="楷体" w:eastAsia="楷体" w:cs="楷体"/>
          <w:b w:val="0"/>
          <w:bCs/>
          <w:sz w:val="28"/>
          <w:szCs w:val="28"/>
        </w:rPr>
        <w:t>超过需方指定交货时间十天以</w:t>
      </w:r>
      <w:r>
        <w:rPr>
          <w:rFonts w:hint="eastAsia" w:ascii="楷体" w:hAnsi="楷体" w:eastAsia="楷体" w:cs="楷体"/>
          <w:b w:val="0"/>
          <w:bCs/>
          <w:sz w:val="28"/>
          <w:szCs w:val="28"/>
          <w:lang w:val="en-US" w:eastAsia="zh-CN"/>
        </w:rPr>
        <w:t>上</w:t>
      </w:r>
      <w:r>
        <w:rPr>
          <w:rFonts w:hint="eastAsia" w:ascii="楷体" w:hAnsi="楷体" w:eastAsia="楷体" w:cs="楷体"/>
          <w:b w:val="0"/>
          <w:bCs/>
          <w:sz w:val="28"/>
          <w:szCs w:val="28"/>
        </w:rPr>
        <w:t>则</w:t>
      </w:r>
      <w:r>
        <w:rPr>
          <w:rFonts w:hint="eastAsia" w:ascii="楷体" w:hAnsi="楷体" w:eastAsia="楷体" w:cs="楷体"/>
          <w:b w:val="0"/>
          <w:bCs/>
          <w:sz w:val="28"/>
          <w:szCs w:val="28"/>
          <w:lang w:val="en-US" w:eastAsia="zh-CN"/>
        </w:rPr>
        <w:t>定</w:t>
      </w:r>
      <w:r>
        <w:rPr>
          <w:rFonts w:hint="eastAsia" w:ascii="楷体" w:hAnsi="楷体" w:eastAsia="楷体" w:cs="楷体"/>
          <w:b w:val="0"/>
          <w:bCs/>
          <w:sz w:val="28"/>
          <w:szCs w:val="28"/>
        </w:rPr>
        <w:t>为供方“不能交货”，</w:t>
      </w:r>
      <w:r>
        <w:rPr>
          <w:rFonts w:hint="eastAsia" w:ascii="楷体" w:hAnsi="楷体" w:eastAsia="楷体" w:cs="楷体"/>
          <w:sz w:val="28"/>
          <w:szCs w:val="28"/>
          <w:lang w:eastAsia="zh-CN"/>
        </w:rPr>
        <w:t>需方有权</w:t>
      </w:r>
      <w:r>
        <w:rPr>
          <w:rFonts w:hint="eastAsia" w:ascii="楷体" w:hAnsi="楷体" w:eastAsia="楷体" w:cs="楷体"/>
          <w:sz w:val="28"/>
          <w:szCs w:val="28"/>
          <w:lang w:val="en-US" w:eastAsia="zh-CN"/>
        </w:rPr>
        <w:t>扣除</w:t>
      </w:r>
      <w:r>
        <w:rPr>
          <w:rFonts w:hint="eastAsia" w:ascii="楷体" w:hAnsi="楷体" w:eastAsia="楷体" w:cs="楷体"/>
          <w:sz w:val="28"/>
          <w:szCs w:val="28"/>
          <w:lang w:eastAsia="zh-CN"/>
        </w:rPr>
        <w:t>履约保证金，如供方违约造成需方其他损失的，供方还应赔偿需方</w:t>
      </w:r>
      <w:r>
        <w:rPr>
          <w:rFonts w:hint="eastAsia" w:ascii="楷体" w:hAnsi="楷体" w:eastAsia="楷体" w:cs="楷体"/>
          <w:sz w:val="28"/>
          <w:szCs w:val="28"/>
          <w:lang w:val="en-US" w:eastAsia="zh-CN"/>
        </w:rPr>
        <w:t>相应</w:t>
      </w:r>
      <w:r>
        <w:rPr>
          <w:rFonts w:hint="eastAsia" w:ascii="楷体" w:hAnsi="楷体" w:eastAsia="楷体" w:cs="楷体"/>
          <w:sz w:val="28"/>
          <w:szCs w:val="28"/>
          <w:lang w:eastAsia="zh-CN"/>
        </w:rPr>
        <w:t>损失。</w:t>
      </w:r>
      <w:r>
        <w:rPr>
          <w:rFonts w:hint="eastAsia" w:ascii="楷体" w:hAnsi="楷体" w:eastAsia="楷体" w:cs="楷体"/>
          <w:sz w:val="28"/>
          <w:szCs w:val="28"/>
          <w:lang w:val="en-US" w:eastAsia="zh-CN"/>
        </w:rPr>
        <w:t>需方有权选择待供方补足保证金后继续履行本合同或无条件解除本合同。</w:t>
      </w:r>
    </w:p>
    <w:p>
      <w:pPr>
        <w:rPr>
          <w:rFonts w:hint="eastAsia" w:ascii="楷体" w:hAnsi="楷体" w:eastAsia="楷体" w:cs="楷体"/>
          <w:b w:val="0"/>
          <w:bCs/>
          <w:sz w:val="28"/>
          <w:szCs w:val="28"/>
        </w:rPr>
      </w:pPr>
    </w:p>
    <w:p>
      <w:pPr>
        <w:rPr>
          <w:rFonts w:hint="eastAsia" w:ascii="楷体" w:hAnsi="楷体" w:eastAsia="楷体" w:cs="楷体"/>
          <w:b w:val="0"/>
          <w:bCs/>
          <w:sz w:val="28"/>
          <w:szCs w:val="28"/>
        </w:rPr>
      </w:pPr>
      <w:r>
        <w:rPr>
          <w:rFonts w:hint="eastAsia" w:ascii="楷体" w:hAnsi="楷体" w:eastAsia="楷体" w:cs="楷体"/>
          <w:b/>
          <w:bCs w:val="0"/>
          <w:sz w:val="28"/>
          <w:szCs w:val="28"/>
          <w:lang w:val="en-US" w:eastAsia="zh-CN"/>
        </w:rPr>
        <w:t>十</w:t>
      </w:r>
      <w:r>
        <w:rPr>
          <w:rFonts w:hint="eastAsia" w:ascii="楷体" w:hAnsi="楷体" w:eastAsia="楷体" w:cs="楷体"/>
          <w:b/>
          <w:bCs w:val="0"/>
          <w:sz w:val="28"/>
          <w:szCs w:val="28"/>
        </w:rPr>
        <w:t xml:space="preserve">、反贪污条款   </w:t>
      </w:r>
      <w:r>
        <w:rPr>
          <w:rFonts w:hint="eastAsia" w:ascii="楷体" w:hAnsi="楷体" w:eastAsia="楷体" w:cs="楷体"/>
          <w:b w:val="0"/>
          <w:bCs/>
          <w:sz w:val="28"/>
          <w:szCs w:val="28"/>
        </w:rPr>
        <w:t xml:space="preserve"> </w:t>
      </w:r>
    </w:p>
    <w:p>
      <w:pPr>
        <w:ind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（一）供需双方都清楚并愿意严格遵守中华人民共和国反商业贿赂的法律规定，双方都清楚任何形式的贿赂和贪渎行为都将触犯法律，并将受到法律的严惩；</w:t>
      </w:r>
    </w:p>
    <w:p>
      <w:pPr>
        <w:ind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（二）</w:t>
      </w:r>
      <w:r>
        <w:rPr>
          <w:rFonts w:hint="eastAsia" w:ascii="楷体" w:hAnsi="楷体" w:eastAsia="楷体" w:cs="楷体"/>
          <w:sz w:val="28"/>
          <w:szCs w:val="28"/>
          <w:lang w:val="en-US" w:eastAsia="zh-CN"/>
        </w:rPr>
        <w:t>供需双方经办人未经允许不得私下接触，且供方</w:t>
      </w:r>
      <w:r>
        <w:rPr>
          <w:rFonts w:hint="eastAsia" w:ascii="楷体" w:hAnsi="楷体" w:eastAsia="楷体" w:cs="楷体"/>
          <w:sz w:val="28"/>
          <w:szCs w:val="28"/>
          <w:lang w:eastAsia="zh-CN"/>
        </w:rPr>
        <w:t>不得向</w:t>
      </w:r>
      <w:r>
        <w:rPr>
          <w:rFonts w:hint="eastAsia" w:ascii="楷体" w:hAnsi="楷体" w:eastAsia="楷体" w:cs="楷体"/>
          <w:sz w:val="28"/>
          <w:szCs w:val="28"/>
          <w:lang w:val="en-US" w:eastAsia="zh-CN"/>
        </w:rPr>
        <w:t>需</w:t>
      </w:r>
      <w:r>
        <w:rPr>
          <w:rFonts w:hint="eastAsia" w:ascii="楷体" w:hAnsi="楷体" w:eastAsia="楷体" w:cs="楷体"/>
          <w:sz w:val="28"/>
          <w:szCs w:val="28"/>
          <w:lang w:eastAsia="zh-CN"/>
        </w:rPr>
        <w:t>方或</w:t>
      </w:r>
      <w:r>
        <w:rPr>
          <w:rFonts w:hint="eastAsia" w:ascii="楷体" w:hAnsi="楷体" w:eastAsia="楷体" w:cs="楷体"/>
          <w:sz w:val="28"/>
          <w:szCs w:val="28"/>
          <w:lang w:val="en-US" w:eastAsia="zh-CN"/>
        </w:rPr>
        <w:t>需</w:t>
      </w:r>
      <w:r>
        <w:rPr>
          <w:rFonts w:hint="eastAsia" w:ascii="楷体" w:hAnsi="楷体" w:eastAsia="楷体" w:cs="楷体"/>
          <w:sz w:val="28"/>
          <w:szCs w:val="28"/>
          <w:lang w:eastAsia="zh-CN"/>
        </w:rPr>
        <w:t>方经办人索要、收受、提供、给予合同约定外的任何利益，包括但不限于明扣、暗扣、现金、购物卡、实物、有价证券、旅游、</w:t>
      </w:r>
      <w:r>
        <w:rPr>
          <w:rFonts w:hint="eastAsia" w:ascii="楷体" w:hAnsi="楷体" w:eastAsia="楷体" w:cs="楷体"/>
          <w:sz w:val="28"/>
          <w:szCs w:val="28"/>
          <w:lang w:val="en-US" w:eastAsia="zh-CN"/>
        </w:rPr>
        <w:t>宴请</w:t>
      </w:r>
      <w:r>
        <w:rPr>
          <w:rFonts w:hint="eastAsia" w:ascii="楷体" w:hAnsi="楷体" w:eastAsia="楷体" w:cs="楷体"/>
          <w:sz w:val="28"/>
          <w:szCs w:val="28"/>
          <w:lang w:eastAsia="zh-CN"/>
        </w:rPr>
        <w:t>或其他非物质性利益等，</w:t>
      </w:r>
      <w:r>
        <w:rPr>
          <w:rFonts w:hint="eastAsia" w:ascii="楷体" w:hAnsi="楷体" w:eastAsia="楷体" w:cs="楷体"/>
          <w:sz w:val="28"/>
          <w:szCs w:val="28"/>
          <w:lang w:val="en-US" w:eastAsia="zh-CN"/>
        </w:rPr>
        <w:t>若供方违反，</w:t>
      </w:r>
      <w:r>
        <w:rPr>
          <w:rFonts w:hint="eastAsia" w:ascii="楷体" w:hAnsi="楷体" w:eastAsia="楷体" w:cs="楷体"/>
          <w:sz w:val="28"/>
          <w:szCs w:val="28"/>
          <w:lang w:eastAsia="zh-CN"/>
        </w:rPr>
        <w:t>需方可向有关部门举报，</w:t>
      </w:r>
      <w:r>
        <w:rPr>
          <w:rFonts w:hint="eastAsia" w:ascii="楷体" w:hAnsi="楷体" w:eastAsia="楷体" w:cs="楷体"/>
          <w:sz w:val="28"/>
          <w:szCs w:val="28"/>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8"/>
          <w:szCs w:val="28"/>
        </w:rPr>
      </w:pPr>
    </w:p>
    <w:p>
      <w:pPr>
        <w:rPr>
          <w:rFonts w:hint="eastAsia" w:ascii="楷体" w:hAnsi="楷体" w:eastAsia="楷体" w:cs="楷体"/>
          <w:b/>
          <w:bCs w:val="0"/>
          <w:sz w:val="28"/>
          <w:szCs w:val="28"/>
        </w:rPr>
      </w:pPr>
      <w:r>
        <w:rPr>
          <w:rFonts w:hint="eastAsia" w:ascii="楷体" w:hAnsi="楷体" w:eastAsia="楷体" w:cs="楷体"/>
          <w:b/>
          <w:bCs w:val="0"/>
          <w:sz w:val="28"/>
          <w:szCs w:val="28"/>
        </w:rPr>
        <w:t>十</w:t>
      </w:r>
      <w:r>
        <w:rPr>
          <w:rFonts w:hint="eastAsia" w:ascii="楷体" w:hAnsi="楷体" w:eastAsia="楷体" w:cs="楷体"/>
          <w:b/>
          <w:bCs w:val="0"/>
          <w:sz w:val="28"/>
          <w:szCs w:val="28"/>
          <w:lang w:val="en-US" w:eastAsia="zh-CN"/>
        </w:rPr>
        <w:t>一</w:t>
      </w:r>
      <w:r>
        <w:rPr>
          <w:rFonts w:hint="eastAsia" w:ascii="楷体" w:hAnsi="楷体" w:eastAsia="楷体" w:cs="楷体"/>
          <w:b/>
          <w:bCs w:val="0"/>
          <w:sz w:val="28"/>
          <w:szCs w:val="28"/>
        </w:rPr>
        <w:t>、其它约定事项</w:t>
      </w:r>
    </w:p>
    <w:p>
      <w:pPr>
        <w:rPr>
          <w:rFonts w:hint="eastAsia" w:ascii="楷体" w:hAnsi="楷体" w:eastAsia="楷体" w:cs="楷体"/>
          <w:b w:val="0"/>
          <w:bCs/>
          <w:sz w:val="28"/>
          <w:szCs w:val="28"/>
        </w:rPr>
      </w:pPr>
      <w:r>
        <w:rPr>
          <w:rFonts w:hint="eastAsia" w:ascii="楷体" w:hAnsi="楷体" w:eastAsia="楷体" w:cs="楷体"/>
          <w:b w:val="0"/>
          <w:bCs/>
          <w:sz w:val="28"/>
          <w:szCs w:val="28"/>
          <w:lang w:val="en-US" w:eastAsia="zh-CN"/>
        </w:rPr>
        <w:t xml:space="preserve">  （一</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rPr>
        <w:t>本合同一式</w:t>
      </w:r>
      <w:r>
        <w:rPr>
          <w:rFonts w:hint="eastAsia" w:ascii="楷体" w:hAnsi="楷体" w:eastAsia="楷体" w:cs="楷体"/>
          <w:b w:val="0"/>
          <w:bCs/>
          <w:sz w:val="28"/>
          <w:szCs w:val="28"/>
          <w:lang w:eastAsia="zh-CN"/>
        </w:rPr>
        <w:t>六</w:t>
      </w:r>
      <w:r>
        <w:rPr>
          <w:rFonts w:hint="eastAsia" w:ascii="楷体" w:hAnsi="楷体" w:eastAsia="楷体" w:cs="楷体"/>
          <w:b w:val="0"/>
          <w:bCs/>
          <w:sz w:val="28"/>
          <w:szCs w:val="28"/>
        </w:rPr>
        <w:t>份，供需双方各执</w:t>
      </w:r>
      <w:r>
        <w:rPr>
          <w:rFonts w:hint="eastAsia" w:ascii="楷体" w:hAnsi="楷体" w:eastAsia="楷体" w:cs="楷体"/>
          <w:b w:val="0"/>
          <w:bCs/>
          <w:sz w:val="28"/>
          <w:szCs w:val="28"/>
          <w:lang w:eastAsia="zh-CN"/>
        </w:rPr>
        <w:t>三</w:t>
      </w:r>
      <w:r>
        <w:rPr>
          <w:rFonts w:hint="eastAsia" w:ascii="楷体" w:hAnsi="楷体" w:eastAsia="楷体" w:cs="楷体"/>
          <w:b w:val="0"/>
          <w:bCs/>
          <w:sz w:val="28"/>
          <w:szCs w:val="28"/>
        </w:rPr>
        <w:t>份</w:t>
      </w: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经合同双方法定代表人或其委托代理人签字并加盖公章或合同章后生效；</w:t>
      </w:r>
      <w:r>
        <w:rPr>
          <w:rFonts w:hint="eastAsia" w:ascii="楷体" w:hAnsi="楷体" w:eastAsia="楷体" w:cs="楷体"/>
          <w:b w:val="0"/>
          <w:bCs/>
          <w:sz w:val="28"/>
          <w:szCs w:val="28"/>
        </w:rPr>
        <w:t>本合同</w:t>
      </w:r>
      <w:r>
        <w:rPr>
          <w:rFonts w:hint="eastAsia" w:ascii="楷体" w:hAnsi="楷体" w:eastAsia="楷体" w:cs="楷体"/>
          <w:b w:val="0"/>
          <w:bCs/>
          <w:sz w:val="28"/>
          <w:szCs w:val="28"/>
          <w:lang w:val="en-US" w:eastAsia="zh-CN"/>
        </w:rPr>
        <w:t>如</w:t>
      </w:r>
      <w:r>
        <w:rPr>
          <w:rFonts w:hint="eastAsia" w:ascii="楷体" w:hAnsi="楷体" w:eastAsia="楷体" w:cs="楷体"/>
          <w:b w:val="0"/>
          <w:bCs/>
          <w:sz w:val="28"/>
          <w:szCs w:val="28"/>
        </w:rPr>
        <w:t>另有约定</w:t>
      </w:r>
      <w:r>
        <w:rPr>
          <w:rFonts w:hint="eastAsia" w:ascii="楷体" w:hAnsi="楷体" w:eastAsia="楷体" w:cs="楷体"/>
          <w:b w:val="0"/>
          <w:bCs/>
          <w:sz w:val="28"/>
          <w:szCs w:val="28"/>
          <w:lang w:val="en-US" w:eastAsia="zh-CN"/>
        </w:rPr>
        <w:t>可作为补充协议</w:t>
      </w:r>
      <w:r>
        <w:rPr>
          <w:rFonts w:hint="eastAsia" w:ascii="楷体" w:hAnsi="楷体" w:eastAsia="楷体" w:cs="楷体"/>
          <w:b w:val="0"/>
          <w:bCs/>
          <w:sz w:val="28"/>
          <w:szCs w:val="28"/>
        </w:rPr>
        <w:t>由双方签字盖章后生效。</w:t>
      </w:r>
    </w:p>
    <w:p>
      <w:pPr>
        <w:pStyle w:val="3"/>
        <w:ind w:firstLine="280" w:firstLineChars="100"/>
        <w:rPr>
          <w:rFonts w:hint="eastAsia" w:ascii="楷体" w:hAnsi="楷体" w:eastAsia="楷体" w:cs="楷体"/>
          <w:sz w:val="28"/>
          <w:szCs w:val="28"/>
          <w:lang w:eastAsia="zh-CN"/>
        </w:rPr>
      </w:pPr>
      <w:r>
        <w:rPr>
          <w:rFonts w:hint="eastAsia" w:ascii="楷体" w:hAnsi="楷体" w:eastAsia="楷体" w:cs="楷体"/>
          <w:b w:val="0"/>
          <w:bCs/>
          <w:sz w:val="28"/>
          <w:szCs w:val="28"/>
          <w:lang w:eastAsia="zh-CN"/>
        </w:rPr>
        <w:t>（</w:t>
      </w:r>
      <w:r>
        <w:rPr>
          <w:rFonts w:hint="eastAsia" w:ascii="楷体" w:hAnsi="楷体" w:eastAsia="楷体" w:cs="楷体"/>
          <w:b w:val="0"/>
          <w:bCs/>
          <w:sz w:val="28"/>
          <w:szCs w:val="28"/>
          <w:lang w:val="en-US" w:eastAsia="zh-CN"/>
        </w:rPr>
        <w:t>二</w:t>
      </w:r>
      <w:r>
        <w:rPr>
          <w:rFonts w:hint="eastAsia" w:ascii="楷体" w:hAnsi="楷体" w:eastAsia="楷体" w:cs="楷体"/>
          <w:b w:val="0"/>
          <w:bCs/>
          <w:sz w:val="28"/>
          <w:szCs w:val="28"/>
          <w:lang w:eastAsia="zh-CN"/>
        </w:rPr>
        <w:t>）本合同履行过程中如发生争议，双方应友好协商，</w:t>
      </w:r>
      <w:r>
        <w:rPr>
          <w:rFonts w:hint="eastAsia" w:ascii="楷体" w:hAnsi="楷体" w:eastAsia="楷体" w:cs="楷体"/>
          <w:b w:val="0"/>
          <w:bCs/>
          <w:sz w:val="28"/>
          <w:szCs w:val="28"/>
          <w:lang w:val="en-US" w:eastAsia="zh-CN"/>
        </w:rPr>
        <w:t>如若</w:t>
      </w:r>
      <w:r>
        <w:rPr>
          <w:rFonts w:hint="eastAsia" w:ascii="楷体" w:hAnsi="楷体" w:eastAsia="楷体" w:cs="楷体"/>
          <w:sz w:val="28"/>
          <w:szCs w:val="28"/>
          <w:lang w:eastAsia="zh-CN"/>
        </w:rPr>
        <w:t>协商不成，可向合同签署地人民法院提起诉讼。</w:t>
      </w: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eastAsia="zh-CN"/>
        </w:rPr>
      </w:pPr>
    </w:p>
    <w:p>
      <w:pPr>
        <w:pStyle w:val="3"/>
        <w:ind w:firstLine="280" w:firstLineChars="100"/>
        <w:rPr>
          <w:rFonts w:hint="eastAsia" w:ascii="楷体" w:hAnsi="楷体" w:eastAsia="楷体" w:cs="楷体"/>
          <w:sz w:val="28"/>
          <w:szCs w:val="28"/>
          <w:lang w:val="en-US" w:eastAsia="zh-CN"/>
        </w:rPr>
      </w:pPr>
    </w:p>
    <w:p>
      <w:pPr>
        <w:textAlignment w:val="baseline"/>
        <w:rPr>
          <w:rFonts w:hint="eastAsia" w:ascii="楷体" w:hAnsi="楷体" w:eastAsia="楷体" w:cs="楷体"/>
          <w:sz w:val="28"/>
          <w:szCs w:val="28"/>
        </w:rPr>
      </w:pPr>
      <w:r>
        <w:rPr>
          <w:rFonts w:hint="eastAsia" w:ascii="楷体" w:hAnsi="楷体" w:eastAsia="楷体" w:cs="楷体"/>
          <w:sz w:val="28"/>
          <w:szCs w:val="28"/>
          <w:lang w:val="en-US" w:eastAsia="zh-CN"/>
        </w:rPr>
        <w:t>需方</w:t>
      </w:r>
      <w:r>
        <w:rPr>
          <w:rFonts w:hint="eastAsia" w:ascii="楷体" w:hAnsi="楷体" w:eastAsia="楷体" w:cs="楷体"/>
          <w:sz w:val="28"/>
          <w:szCs w:val="28"/>
        </w:rPr>
        <w:t xml:space="preserve">（盖章）：                                </w:t>
      </w:r>
      <w:r>
        <w:rPr>
          <w:rFonts w:hint="eastAsia" w:ascii="楷体" w:hAnsi="楷体" w:eastAsia="楷体" w:cs="楷体"/>
          <w:sz w:val="28"/>
          <w:szCs w:val="28"/>
          <w:lang w:val="en-US" w:eastAsia="zh-CN"/>
        </w:rPr>
        <w:t>供方</w:t>
      </w:r>
      <w:r>
        <w:rPr>
          <w:rFonts w:hint="eastAsia" w:ascii="楷体" w:hAnsi="楷体" w:eastAsia="楷体" w:cs="楷体"/>
          <w:sz w:val="28"/>
          <w:szCs w:val="28"/>
        </w:rPr>
        <w:t>（盖章）：</w:t>
      </w:r>
    </w:p>
    <w:p>
      <w:pPr>
        <w:textAlignment w:val="baseline"/>
        <w:rPr>
          <w:rFonts w:hint="eastAsia" w:ascii="楷体" w:hAnsi="楷体" w:eastAsia="楷体" w:cs="楷体"/>
          <w:sz w:val="28"/>
          <w:szCs w:val="28"/>
        </w:rPr>
      </w:pPr>
      <w:r>
        <w:rPr>
          <w:rFonts w:hint="eastAsia" w:ascii="楷体" w:hAnsi="楷体" w:eastAsia="楷体" w:cs="楷体"/>
          <w:sz w:val="28"/>
          <w:szCs w:val="28"/>
        </w:rPr>
        <w:t>代表人签字：</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代表人签字：</w:t>
      </w:r>
    </w:p>
    <w:p>
      <w:pPr>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开户银行：                                    开户银行：</w:t>
      </w:r>
    </w:p>
    <w:p>
      <w:pPr>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银行账号：                                    银行账号：</w:t>
      </w:r>
    </w:p>
    <w:p>
      <w:pPr>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税号：                                        税号：</w:t>
      </w:r>
    </w:p>
    <w:p>
      <w:pPr>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邮箱：                                        邮箱：</w:t>
      </w:r>
    </w:p>
    <w:p>
      <w:pPr>
        <w:ind w:right="720"/>
        <w:jc w:val="both"/>
        <w:textAlignment w:val="baseline"/>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联系地址：</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 xml:space="preserve">  </w:t>
      </w:r>
      <w:r>
        <w:rPr>
          <w:rFonts w:hint="eastAsia" w:ascii="楷体" w:hAnsi="楷体" w:eastAsia="楷体" w:cs="楷体"/>
          <w:sz w:val="28"/>
          <w:szCs w:val="28"/>
          <w:lang w:val="en-US" w:eastAsia="zh-CN"/>
        </w:rPr>
        <w:t xml:space="preserve">                       联系地址</w:t>
      </w:r>
    </w:p>
    <w:p>
      <w:pPr>
        <w:ind w:right="720"/>
        <w:jc w:val="both"/>
        <w:textAlignment w:val="baseline"/>
        <w:rPr>
          <w:rFonts w:hint="eastAsia" w:ascii="楷体" w:hAnsi="楷体" w:eastAsia="楷体" w:cs="楷体"/>
          <w:sz w:val="28"/>
          <w:szCs w:val="28"/>
        </w:rPr>
      </w:pPr>
      <w:r>
        <w:rPr>
          <w:rFonts w:hint="eastAsia" w:ascii="楷体" w:hAnsi="楷体" w:eastAsia="楷体" w:cs="楷体"/>
          <w:sz w:val="28"/>
          <w:szCs w:val="28"/>
        </w:rPr>
        <w:t>签订时间：</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年</w:t>
      </w:r>
      <w:r>
        <w:rPr>
          <w:rFonts w:hint="eastAsia" w:ascii="楷体" w:hAnsi="楷体" w:eastAsia="楷体" w:cs="楷体"/>
          <w:sz w:val="28"/>
          <w:szCs w:val="28"/>
          <w:lang w:val="en-US" w:eastAsia="zh-CN"/>
        </w:rPr>
        <w:t xml:space="preserve">   月    </w:t>
      </w:r>
      <w:r>
        <w:rPr>
          <w:rFonts w:hint="eastAsia" w:ascii="楷体" w:hAnsi="楷体" w:eastAsia="楷体" w:cs="楷体"/>
          <w:sz w:val="28"/>
          <w:szCs w:val="28"/>
        </w:rPr>
        <w:t>日</w:t>
      </w:r>
    </w:p>
    <w:p>
      <w:pPr>
        <w:ind w:right="720" w:firstLine="6440" w:firstLineChars="2300"/>
        <w:jc w:val="both"/>
        <w:textAlignment w:val="baseline"/>
        <w:rPr>
          <w:rFonts w:hint="eastAsia" w:ascii="楷体" w:hAnsi="楷体" w:eastAsia="楷体" w:cs="楷体"/>
          <w:sz w:val="28"/>
          <w:szCs w:val="28"/>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31095"/>
    <w:rsid w:val="02CF4378"/>
    <w:rsid w:val="0301143E"/>
    <w:rsid w:val="03533CCF"/>
    <w:rsid w:val="03B32348"/>
    <w:rsid w:val="03D270B5"/>
    <w:rsid w:val="03E43B84"/>
    <w:rsid w:val="040775A1"/>
    <w:rsid w:val="04607B74"/>
    <w:rsid w:val="04982A06"/>
    <w:rsid w:val="04DA1C47"/>
    <w:rsid w:val="04E16B35"/>
    <w:rsid w:val="04F142A5"/>
    <w:rsid w:val="0577780E"/>
    <w:rsid w:val="05865D03"/>
    <w:rsid w:val="05931B15"/>
    <w:rsid w:val="05B125A8"/>
    <w:rsid w:val="05CB1B7A"/>
    <w:rsid w:val="05DA274A"/>
    <w:rsid w:val="06076850"/>
    <w:rsid w:val="060B263B"/>
    <w:rsid w:val="066668C4"/>
    <w:rsid w:val="06D71D3F"/>
    <w:rsid w:val="076E25D3"/>
    <w:rsid w:val="07E3292D"/>
    <w:rsid w:val="07F20B82"/>
    <w:rsid w:val="087E41C9"/>
    <w:rsid w:val="09290C67"/>
    <w:rsid w:val="093C1779"/>
    <w:rsid w:val="09E64AA9"/>
    <w:rsid w:val="0A0124A3"/>
    <w:rsid w:val="0A2A365B"/>
    <w:rsid w:val="0A2B05E0"/>
    <w:rsid w:val="0AC57974"/>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600864"/>
    <w:rsid w:val="126E269F"/>
    <w:rsid w:val="12A21D9D"/>
    <w:rsid w:val="12C72BE9"/>
    <w:rsid w:val="13403A29"/>
    <w:rsid w:val="1369764B"/>
    <w:rsid w:val="13C95021"/>
    <w:rsid w:val="13CB044D"/>
    <w:rsid w:val="13CD1F3A"/>
    <w:rsid w:val="13ED5F96"/>
    <w:rsid w:val="1482378B"/>
    <w:rsid w:val="14C54A87"/>
    <w:rsid w:val="15027EF6"/>
    <w:rsid w:val="151321B2"/>
    <w:rsid w:val="156B15E9"/>
    <w:rsid w:val="15AE0B26"/>
    <w:rsid w:val="1605232B"/>
    <w:rsid w:val="16893773"/>
    <w:rsid w:val="16D1780D"/>
    <w:rsid w:val="172950F6"/>
    <w:rsid w:val="173739A8"/>
    <w:rsid w:val="17782B62"/>
    <w:rsid w:val="17C5708C"/>
    <w:rsid w:val="17EF1445"/>
    <w:rsid w:val="17EF346C"/>
    <w:rsid w:val="18265F06"/>
    <w:rsid w:val="1846555A"/>
    <w:rsid w:val="184C0AFA"/>
    <w:rsid w:val="18C37A77"/>
    <w:rsid w:val="190A65CE"/>
    <w:rsid w:val="19154217"/>
    <w:rsid w:val="194E1737"/>
    <w:rsid w:val="196F6C47"/>
    <w:rsid w:val="19AD7C84"/>
    <w:rsid w:val="19BF58EA"/>
    <w:rsid w:val="1A2642A1"/>
    <w:rsid w:val="1A2A61D6"/>
    <w:rsid w:val="1A481FD5"/>
    <w:rsid w:val="1A960C90"/>
    <w:rsid w:val="1AA946C7"/>
    <w:rsid w:val="1AB870AE"/>
    <w:rsid w:val="1ABB204F"/>
    <w:rsid w:val="1AD10EA7"/>
    <w:rsid w:val="1AFE2182"/>
    <w:rsid w:val="1B1D07E1"/>
    <w:rsid w:val="1B3806E0"/>
    <w:rsid w:val="1B543B1D"/>
    <w:rsid w:val="1B714141"/>
    <w:rsid w:val="1B7D7EE6"/>
    <w:rsid w:val="1B856B04"/>
    <w:rsid w:val="1B9658DD"/>
    <w:rsid w:val="1BF24866"/>
    <w:rsid w:val="1C0F0A4F"/>
    <w:rsid w:val="1CD13F56"/>
    <w:rsid w:val="1D016DA7"/>
    <w:rsid w:val="1D0C3576"/>
    <w:rsid w:val="1D454DC0"/>
    <w:rsid w:val="1D812492"/>
    <w:rsid w:val="1D861FC4"/>
    <w:rsid w:val="1DA83565"/>
    <w:rsid w:val="1DEC291A"/>
    <w:rsid w:val="1E4332AB"/>
    <w:rsid w:val="1E4E2951"/>
    <w:rsid w:val="1EDC274A"/>
    <w:rsid w:val="1F351AF5"/>
    <w:rsid w:val="1F3D65DF"/>
    <w:rsid w:val="1F8B663F"/>
    <w:rsid w:val="1F9865B0"/>
    <w:rsid w:val="1FB65D8F"/>
    <w:rsid w:val="1FC23E77"/>
    <w:rsid w:val="202F7912"/>
    <w:rsid w:val="20547378"/>
    <w:rsid w:val="20627E53"/>
    <w:rsid w:val="209A72F3"/>
    <w:rsid w:val="20CD0C9E"/>
    <w:rsid w:val="20EE6F77"/>
    <w:rsid w:val="21667763"/>
    <w:rsid w:val="2193373C"/>
    <w:rsid w:val="22366949"/>
    <w:rsid w:val="225C3804"/>
    <w:rsid w:val="226B4AFD"/>
    <w:rsid w:val="22A10541"/>
    <w:rsid w:val="22F57FBF"/>
    <w:rsid w:val="23021AFC"/>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A504B9"/>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4D6E9E"/>
    <w:rsid w:val="2BA44230"/>
    <w:rsid w:val="2BC93334"/>
    <w:rsid w:val="2BD76A9C"/>
    <w:rsid w:val="2BFA5278"/>
    <w:rsid w:val="2C6958D3"/>
    <w:rsid w:val="2C744302"/>
    <w:rsid w:val="2D472502"/>
    <w:rsid w:val="2DB80298"/>
    <w:rsid w:val="2DC80540"/>
    <w:rsid w:val="2E205D67"/>
    <w:rsid w:val="2E2273DE"/>
    <w:rsid w:val="2E282DCC"/>
    <w:rsid w:val="2E4849F0"/>
    <w:rsid w:val="2F1D7CA8"/>
    <w:rsid w:val="2FAA0D63"/>
    <w:rsid w:val="301D2277"/>
    <w:rsid w:val="30B00320"/>
    <w:rsid w:val="30B16CD6"/>
    <w:rsid w:val="30CF024E"/>
    <w:rsid w:val="31140915"/>
    <w:rsid w:val="318140BC"/>
    <w:rsid w:val="31A3002B"/>
    <w:rsid w:val="31C71A3E"/>
    <w:rsid w:val="32485E9F"/>
    <w:rsid w:val="325E2F50"/>
    <w:rsid w:val="32D076A4"/>
    <w:rsid w:val="32DB6569"/>
    <w:rsid w:val="33741899"/>
    <w:rsid w:val="33AF4B9A"/>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DD15AA"/>
    <w:rsid w:val="37FE19C5"/>
    <w:rsid w:val="38076ABE"/>
    <w:rsid w:val="381C20D2"/>
    <w:rsid w:val="38344B0A"/>
    <w:rsid w:val="384733E7"/>
    <w:rsid w:val="38523F6F"/>
    <w:rsid w:val="386F33BA"/>
    <w:rsid w:val="38A92ADF"/>
    <w:rsid w:val="390C3776"/>
    <w:rsid w:val="390E2D7F"/>
    <w:rsid w:val="391E1D26"/>
    <w:rsid w:val="39293FBF"/>
    <w:rsid w:val="39296ADF"/>
    <w:rsid w:val="394C35BC"/>
    <w:rsid w:val="395C24B0"/>
    <w:rsid w:val="39D53205"/>
    <w:rsid w:val="39DD2EE5"/>
    <w:rsid w:val="39EC5B5D"/>
    <w:rsid w:val="39F46BBF"/>
    <w:rsid w:val="3AC448F0"/>
    <w:rsid w:val="3AE36A3D"/>
    <w:rsid w:val="3AF02CA6"/>
    <w:rsid w:val="3B6502B6"/>
    <w:rsid w:val="3B652E84"/>
    <w:rsid w:val="3B697609"/>
    <w:rsid w:val="3BA73D59"/>
    <w:rsid w:val="3BB645EB"/>
    <w:rsid w:val="3BD7609C"/>
    <w:rsid w:val="3BF03C11"/>
    <w:rsid w:val="3C222A3D"/>
    <w:rsid w:val="3C626EF1"/>
    <w:rsid w:val="3C8B7826"/>
    <w:rsid w:val="3CB0624E"/>
    <w:rsid w:val="3CBC27B9"/>
    <w:rsid w:val="3CC93F7D"/>
    <w:rsid w:val="3CD24D16"/>
    <w:rsid w:val="3D0777F5"/>
    <w:rsid w:val="3D1F7321"/>
    <w:rsid w:val="3D7B0210"/>
    <w:rsid w:val="3DAD6232"/>
    <w:rsid w:val="3DB35549"/>
    <w:rsid w:val="3DC154F0"/>
    <w:rsid w:val="3DCC04E3"/>
    <w:rsid w:val="3E240EFA"/>
    <w:rsid w:val="3E49368E"/>
    <w:rsid w:val="3E5321DE"/>
    <w:rsid w:val="3E58210D"/>
    <w:rsid w:val="3E816379"/>
    <w:rsid w:val="3E9928E6"/>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9873F8"/>
    <w:rsid w:val="43CB4C18"/>
    <w:rsid w:val="43D36344"/>
    <w:rsid w:val="43F57F1B"/>
    <w:rsid w:val="442B0177"/>
    <w:rsid w:val="44583EE9"/>
    <w:rsid w:val="448342A7"/>
    <w:rsid w:val="44906321"/>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71646A"/>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8C30E7"/>
    <w:rsid w:val="4ACB195C"/>
    <w:rsid w:val="4ADF5F36"/>
    <w:rsid w:val="4AE061D4"/>
    <w:rsid w:val="4B05391C"/>
    <w:rsid w:val="4B810B2B"/>
    <w:rsid w:val="4BF50FFE"/>
    <w:rsid w:val="4BF652CB"/>
    <w:rsid w:val="4C0A7E44"/>
    <w:rsid w:val="4C33438B"/>
    <w:rsid w:val="4C704300"/>
    <w:rsid w:val="4C7F5D78"/>
    <w:rsid w:val="4CA9787D"/>
    <w:rsid w:val="4CD868E2"/>
    <w:rsid w:val="4D050C6C"/>
    <w:rsid w:val="4D6E11CA"/>
    <w:rsid w:val="4D74626E"/>
    <w:rsid w:val="4D750524"/>
    <w:rsid w:val="4D7B12B8"/>
    <w:rsid w:val="4D91249C"/>
    <w:rsid w:val="4E692A1A"/>
    <w:rsid w:val="4E9017E9"/>
    <w:rsid w:val="4EA92FA9"/>
    <w:rsid w:val="4EBA2784"/>
    <w:rsid w:val="4F5A7BE3"/>
    <w:rsid w:val="4F813264"/>
    <w:rsid w:val="4F853E14"/>
    <w:rsid w:val="4FC146C4"/>
    <w:rsid w:val="50012BCA"/>
    <w:rsid w:val="502952E0"/>
    <w:rsid w:val="505A77E4"/>
    <w:rsid w:val="50A67E3F"/>
    <w:rsid w:val="51037D77"/>
    <w:rsid w:val="51A633CC"/>
    <w:rsid w:val="51C8065E"/>
    <w:rsid w:val="51DE5CFE"/>
    <w:rsid w:val="523C09CD"/>
    <w:rsid w:val="524422FC"/>
    <w:rsid w:val="52782446"/>
    <w:rsid w:val="52A06FD6"/>
    <w:rsid w:val="52C7421C"/>
    <w:rsid w:val="52F13F78"/>
    <w:rsid w:val="530E1593"/>
    <w:rsid w:val="53262FB5"/>
    <w:rsid w:val="53546F55"/>
    <w:rsid w:val="53665BF2"/>
    <w:rsid w:val="53A90016"/>
    <w:rsid w:val="53C3650E"/>
    <w:rsid w:val="53CA19D8"/>
    <w:rsid w:val="53FB2C33"/>
    <w:rsid w:val="542A792F"/>
    <w:rsid w:val="54302727"/>
    <w:rsid w:val="54A758A0"/>
    <w:rsid w:val="54BD2AA1"/>
    <w:rsid w:val="54E669AC"/>
    <w:rsid w:val="55770380"/>
    <w:rsid w:val="55AE6607"/>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8F0FA0"/>
    <w:rsid w:val="5E906137"/>
    <w:rsid w:val="5EC20559"/>
    <w:rsid w:val="5EC803B1"/>
    <w:rsid w:val="5ECF1D3F"/>
    <w:rsid w:val="5EFD3E95"/>
    <w:rsid w:val="5F014BFA"/>
    <w:rsid w:val="5F105C3D"/>
    <w:rsid w:val="5F3270DD"/>
    <w:rsid w:val="5F670AB7"/>
    <w:rsid w:val="5F6D520B"/>
    <w:rsid w:val="5FB67943"/>
    <w:rsid w:val="5FF34A31"/>
    <w:rsid w:val="600C3273"/>
    <w:rsid w:val="60A019FE"/>
    <w:rsid w:val="60FF2D6A"/>
    <w:rsid w:val="614E306F"/>
    <w:rsid w:val="61736957"/>
    <w:rsid w:val="61874DC0"/>
    <w:rsid w:val="6192008C"/>
    <w:rsid w:val="61BE131F"/>
    <w:rsid w:val="62044E39"/>
    <w:rsid w:val="620F10F6"/>
    <w:rsid w:val="628B7ACF"/>
    <w:rsid w:val="62915356"/>
    <w:rsid w:val="62AB7A54"/>
    <w:rsid w:val="62B000EB"/>
    <w:rsid w:val="62BE0230"/>
    <w:rsid w:val="62D05247"/>
    <w:rsid w:val="62E933A0"/>
    <w:rsid w:val="635337D4"/>
    <w:rsid w:val="635D7E8B"/>
    <w:rsid w:val="63F2282D"/>
    <w:rsid w:val="64002C11"/>
    <w:rsid w:val="641179F4"/>
    <w:rsid w:val="64264155"/>
    <w:rsid w:val="644B3155"/>
    <w:rsid w:val="64932E43"/>
    <w:rsid w:val="64BF5897"/>
    <w:rsid w:val="65047BA6"/>
    <w:rsid w:val="652427C9"/>
    <w:rsid w:val="657F7CA6"/>
    <w:rsid w:val="65913AB2"/>
    <w:rsid w:val="65AB59EC"/>
    <w:rsid w:val="65B12981"/>
    <w:rsid w:val="65EA7496"/>
    <w:rsid w:val="66561F6D"/>
    <w:rsid w:val="6663225A"/>
    <w:rsid w:val="66B44451"/>
    <w:rsid w:val="66C37A39"/>
    <w:rsid w:val="67242BCD"/>
    <w:rsid w:val="675A0102"/>
    <w:rsid w:val="67601E54"/>
    <w:rsid w:val="68095450"/>
    <w:rsid w:val="681C6595"/>
    <w:rsid w:val="68A044D6"/>
    <w:rsid w:val="68A96FCB"/>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17F6C52"/>
    <w:rsid w:val="72113428"/>
    <w:rsid w:val="7255750B"/>
    <w:rsid w:val="72DC4A9B"/>
    <w:rsid w:val="72F60905"/>
    <w:rsid w:val="730D170E"/>
    <w:rsid w:val="73282E7A"/>
    <w:rsid w:val="7350716B"/>
    <w:rsid w:val="73AE4453"/>
    <w:rsid w:val="73E408E0"/>
    <w:rsid w:val="740D35E1"/>
    <w:rsid w:val="741E09A4"/>
    <w:rsid w:val="746D463E"/>
    <w:rsid w:val="74997520"/>
    <w:rsid w:val="74BD3F2E"/>
    <w:rsid w:val="74DC3723"/>
    <w:rsid w:val="74EC51E3"/>
    <w:rsid w:val="750C0326"/>
    <w:rsid w:val="752649AE"/>
    <w:rsid w:val="752A5432"/>
    <w:rsid w:val="75412462"/>
    <w:rsid w:val="75710E51"/>
    <w:rsid w:val="75F8787D"/>
    <w:rsid w:val="76090C1A"/>
    <w:rsid w:val="762F0F4B"/>
    <w:rsid w:val="76573568"/>
    <w:rsid w:val="765A240A"/>
    <w:rsid w:val="76AF3B36"/>
    <w:rsid w:val="76B87181"/>
    <w:rsid w:val="76BD1202"/>
    <w:rsid w:val="76D35A76"/>
    <w:rsid w:val="773D7394"/>
    <w:rsid w:val="77804C93"/>
    <w:rsid w:val="77FC48A2"/>
    <w:rsid w:val="78603A04"/>
    <w:rsid w:val="78DC268D"/>
    <w:rsid w:val="78F92DC8"/>
    <w:rsid w:val="79790DC4"/>
    <w:rsid w:val="79A63C43"/>
    <w:rsid w:val="79EE7D50"/>
    <w:rsid w:val="79F13ABB"/>
    <w:rsid w:val="7A164373"/>
    <w:rsid w:val="7A2A00A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A3413D"/>
    <w:rsid w:val="7CC86D48"/>
    <w:rsid w:val="7CE6051D"/>
    <w:rsid w:val="7D384885"/>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41</TotalTime>
  <ScaleCrop>false</ScaleCrop>
  <LinksUpToDate>false</LinksUpToDate>
  <CharactersWithSpaces>8385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Administrator</cp:lastModifiedBy>
  <cp:lastPrinted>2021-08-04T00:39:00Z</cp:lastPrinted>
  <dcterms:modified xsi:type="dcterms:W3CDTF">2022-01-12T09:20:55Z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