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2021年 9月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sz w:val="28"/>
          <w:szCs w:val="28"/>
        </w:rPr>
        <w:t>https://bid.yimei180.com/）上</w:t>
      </w:r>
      <w:r>
        <w:rPr>
          <w:rStyle w:val="12"/>
          <w:rFonts w:hint="eastAsia" w:ascii="楷体" w:hAnsi="楷体" w:eastAsia="楷体" w:cs="Times New Roman"/>
          <w:sz w:val="28"/>
          <w:szCs w:val="28"/>
        </w:rPr>
        <w:t>进行公开采购招标，凡有意参加投标的企业请按要求编制投标文件，并按规定时间报价并提交投标文件。</w:t>
      </w:r>
      <w:r>
        <w:rPr>
          <w:rStyle w:val="12"/>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ascii="楷体" w:hAnsi="楷体" w:eastAsia="楷体" w:cs="Times New Roman"/>
          <w:color w:val="FF0000"/>
          <w:sz w:val="28"/>
          <w:szCs w:val="28"/>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1、电厂用煤炭：煤泥</w:t>
      </w:r>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9"/>
        <w:tblW w:w="6338" w:type="dxa"/>
        <w:tblInd w:w="10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3285"/>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3285"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3285"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采购数量（t)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3000</w:t>
            </w:r>
          </w:p>
        </w:tc>
      </w:tr>
    </w:tbl>
    <w:p>
      <w:pPr>
        <w:rPr>
          <w:rFonts w:ascii="楷体" w:hAnsi="楷体" w:eastAsia="楷体" w:cs="Times New Roman"/>
          <w:color w:val="FF0000"/>
          <w:sz w:val="28"/>
          <w:szCs w:val="28"/>
        </w:rPr>
      </w:pP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采购数量：3000吨（±5％）。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交货时间：交货时间为2021年10月10日前完成供货 (具体每批次到货时间及数量以需方通知为准)，逾期需方有权拒收。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交货地点：南通观音山环保热电有限公司煤场。</w:t>
      </w:r>
    </w:p>
    <w:p>
      <w:pPr>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   5、合同格式详见附件4：《煤炭购销合同（煤泥）》，</w:t>
      </w:r>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2021 </w:t>
      </w:r>
      <w:r>
        <w:rPr>
          <w:rFonts w:hint="eastAsia" w:ascii="楷体" w:hAnsi="楷体" w:eastAsia="楷体" w:cs="Times New Roman"/>
          <w:color w:val="2A2A2A"/>
          <w:sz w:val="28"/>
          <w:szCs w:val="28"/>
          <w:u w:val="single"/>
        </w:rPr>
        <w:t xml:space="preserve">年 </w:t>
      </w:r>
      <w:r>
        <w:rPr>
          <w:rFonts w:hint="eastAsia" w:ascii="楷体" w:hAnsi="楷体" w:eastAsia="楷体" w:cs="Times New Roman"/>
          <w:color w:val="2A2A2A"/>
          <w:sz w:val="28"/>
          <w:szCs w:val="28"/>
          <w:u w:val="single"/>
          <w:lang w:val="en-US" w:eastAsia="zh-CN"/>
        </w:rPr>
        <w:t>9</w:t>
      </w:r>
      <w:r>
        <w:rPr>
          <w:rFonts w:hint="eastAsia" w:ascii="楷体" w:hAnsi="楷体" w:eastAsia="楷体" w:cs="Times New Roman"/>
          <w:color w:val="2A2A2A"/>
          <w:sz w:val="28"/>
          <w:szCs w:val="28"/>
          <w:u w:val="single"/>
        </w:rPr>
        <w:t xml:space="preserve"> 月 </w:t>
      </w:r>
      <w:r>
        <w:rPr>
          <w:rFonts w:hint="eastAsia" w:ascii="楷体" w:hAnsi="楷体" w:eastAsia="楷体" w:cs="Times New Roman"/>
          <w:color w:val="2A2A2A"/>
          <w:sz w:val="28"/>
          <w:szCs w:val="28"/>
          <w:u w:val="single"/>
          <w:lang w:val="en-US" w:eastAsia="zh-CN"/>
        </w:rPr>
        <w:t>22</w:t>
      </w:r>
      <w:r>
        <w:rPr>
          <w:rFonts w:hint="eastAsia" w:ascii="楷体" w:hAnsi="楷体" w:eastAsia="楷体" w:cs="Times New Roman"/>
          <w:color w:val="2A2A2A"/>
          <w:sz w:val="28"/>
          <w:szCs w:val="28"/>
          <w:u w:val="single"/>
        </w:rPr>
        <w:t xml:space="preserve"> 日 </w:t>
      </w:r>
      <w:r>
        <w:rPr>
          <w:rFonts w:hint="eastAsia" w:ascii="楷体" w:hAnsi="楷体" w:eastAsia="楷体" w:cs="Times New Roman"/>
          <w:color w:val="2A2A2A"/>
          <w:sz w:val="28"/>
          <w:szCs w:val="28"/>
          <w:u w:val="single"/>
          <w:lang w:val="en-US" w:eastAsia="zh-CN"/>
        </w:rPr>
        <w:t>14</w:t>
      </w:r>
      <w:r>
        <w:rPr>
          <w:rFonts w:hint="eastAsia" w:ascii="楷体" w:hAnsi="楷体" w:eastAsia="楷体" w:cs="Times New Roman"/>
          <w:color w:val="2A2A2A"/>
          <w:sz w:val="28"/>
          <w:szCs w:val="28"/>
          <w:u w:val="single"/>
        </w:rPr>
        <w:t xml:space="preserve"> 时  </w:t>
      </w:r>
      <w:r>
        <w:rPr>
          <w:rFonts w:hint="eastAsia" w:ascii="楷体" w:hAnsi="楷体" w:eastAsia="楷体" w:cs="Times New Roman"/>
          <w:color w:val="2A2A2A"/>
          <w:sz w:val="28"/>
          <w:szCs w:val="28"/>
          <w:u w:val="single"/>
          <w:lang w:val="en-US" w:eastAsia="zh-CN"/>
        </w:rPr>
        <w:t>00</w:t>
      </w:r>
      <w:r>
        <w:rPr>
          <w:rFonts w:hint="eastAsia" w:ascii="楷体" w:hAnsi="楷体" w:eastAsia="楷体" w:cs="Times New Roman"/>
          <w:color w:val="2A2A2A"/>
          <w:sz w:val="28"/>
          <w:szCs w:val="28"/>
          <w:u w:val="single"/>
        </w:rPr>
        <w:t xml:space="preserve"> 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（一）本项目投标保证金为</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15万</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元人民币，投标人投标时须将投标保证金在本项目开标24小时前汇入以下帐户：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5 </w:t>
      </w:r>
      <w:r>
        <w:rPr>
          <w:rFonts w:hint="eastAsia" w:ascii="楷体" w:hAnsi="楷体" w:eastAsia="楷体" w:cs="Times New Roman"/>
          <w:sz w:val="28"/>
          <w:szCs w:val="28"/>
        </w:rPr>
        <w:t>天内无息退还。</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rPr>
        <w:t>中标单位投标保证金自动转为合同履约保证金，</w:t>
      </w:r>
      <w:r>
        <w:rPr>
          <w:rFonts w:hint="eastAsia" w:ascii="楷体" w:hAnsi="楷体" w:eastAsia="楷体" w:cs="Times New Roman"/>
          <w:sz w:val="28"/>
          <w:szCs w:val="28"/>
        </w:rPr>
        <w:t>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color w:val="FF0000"/>
          <w:sz w:val="28"/>
          <w:szCs w:val="28"/>
          <w:u w:val="none"/>
        </w:rPr>
        <w:t>https://bid.yimei180.com/）上</w:t>
      </w:r>
      <w:r>
        <w:rPr>
          <w:rStyle w:val="12"/>
          <w:rFonts w:hint="eastAsia" w:ascii="楷体" w:hAnsi="楷体" w:eastAsia="楷体" w:cs="Times New Roman"/>
          <w:color w:val="FF0000"/>
          <w:sz w:val="28"/>
          <w:szCs w:val="28"/>
          <w:u w:val="none"/>
        </w:rPr>
        <w:t>进行投标，请按要求编制投标文件，并按平台规定填写，规定时间报价并提交投标文件。</w:t>
      </w:r>
      <w:r>
        <w:rPr>
          <w:rStyle w:val="12"/>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2021 年  </w:t>
      </w:r>
      <w:r>
        <w:rPr>
          <w:rFonts w:hint="eastAsia" w:ascii="楷体" w:hAnsi="楷体" w:eastAsia="楷体" w:cs="Times New Roman"/>
          <w:sz w:val="28"/>
          <w:szCs w:val="28"/>
          <w:u w:val="single"/>
          <w:lang w:val="en-US" w:eastAsia="zh-CN"/>
        </w:rPr>
        <w:t>9</w:t>
      </w:r>
      <w:r>
        <w:rPr>
          <w:rFonts w:hint="eastAsia" w:ascii="楷体" w:hAnsi="楷体" w:eastAsia="楷体" w:cs="Times New Roman"/>
          <w:sz w:val="28"/>
          <w:szCs w:val="28"/>
          <w:u w:val="single"/>
        </w:rPr>
        <w:t xml:space="preserve">  月  </w:t>
      </w:r>
      <w:r>
        <w:rPr>
          <w:rFonts w:hint="eastAsia" w:ascii="楷体" w:hAnsi="楷体" w:eastAsia="楷体" w:cs="Times New Roman"/>
          <w:sz w:val="28"/>
          <w:szCs w:val="28"/>
          <w:u w:val="single"/>
          <w:lang w:val="en-US" w:eastAsia="zh-CN"/>
        </w:rPr>
        <w:t>22</w:t>
      </w:r>
      <w:r>
        <w:rPr>
          <w:rFonts w:hint="eastAsia" w:ascii="楷体" w:hAnsi="楷体" w:eastAsia="楷体" w:cs="Times New Roman"/>
          <w:sz w:val="28"/>
          <w:szCs w:val="28"/>
          <w:u w:val="single"/>
        </w:rPr>
        <w:t xml:space="preserve"> 日  </w:t>
      </w:r>
      <w:r>
        <w:rPr>
          <w:rFonts w:hint="eastAsia" w:ascii="楷体" w:hAnsi="楷体" w:eastAsia="楷体" w:cs="Times New Roman"/>
          <w:sz w:val="28"/>
          <w:szCs w:val="28"/>
          <w:u w:val="single"/>
          <w:lang w:val="en-US" w:eastAsia="zh-CN"/>
        </w:rPr>
        <w:t>14</w:t>
      </w:r>
      <w:r>
        <w:rPr>
          <w:rFonts w:hint="eastAsia" w:ascii="楷体" w:hAnsi="楷体" w:eastAsia="楷体" w:cs="Times New Roman"/>
          <w:sz w:val="28"/>
          <w:szCs w:val="28"/>
          <w:u w:val="single"/>
        </w:rPr>
        <w:t xml:space="preserve">  时 </w:t>
      </w:r>
      <w:r>
        <w:rPr>
          <w:rFonts w:hint="eastAsia" w:ascii="楷体" w:hAnsi="楷体" w:eastAsia="楷体" w:cs="Times New Roman"/>
          <w:sz w:val="28"/>
          <w:szCs w:val="28"/>
          <w:u w:val="single"/>
          <w:lang w:val="en-US" w:eastAsia="zh-CN"/>
        </w:rPr>
        <w:t>0</w:t>
      </w:r>
      <w:bookmarkStart w:id="0" w:name="_GoBack"/>
      <w:bookmarkEnd w:id="0"/>
      <w:r>
        <w:rPr>
          <w:rFonts w:hint="eastAsia" w:ascii="楷体" w:hAnsi="楷体" w:eastAsia="楷体" w:cs="Times New Roman"/>
          <w:sz w:val="28"/>
          <w:szCs w:val="28"/>
          <w:u w:val="single"/>
          <w:lang w:val="en-US" w:eastAsia="zh-CN"/>
        </w:rPr>
        <w:t>0</w:t>
      </w:r>
      <w:r>
        <w:rPr>
          <w:rFonts w:hint="eastAsia" w:ascii="楷体" w:hAnsi="楷体" w:eastAsia="楷体" w:cs="Times New Roman"/>
          <w:sz w:val="28"/>
          <w:szCs w:val="28"/>
          <w:u w:val="single"/>
        </w:rPr>
        <w:t xml:space="preserve">  分</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szCs w:val="21"/>
        </w:rPr>
      </w:pPr>
      <w:r>
        <w:rPr>
          <w:rFonts w:hint="eastAsia" w:ascii="楷体" w:hAnsi="楷体" w:eastAsia="楷体" w:cs="Times New Roman"/>
          <w:sz w:val="28"/>
          <w:szCs w:val="28"/>
        </w:rPr>
        <w:t>附件4：</w:t>
      </w:r>
      <w:r>
        <w:rPr>
          <w:rFonts w:hint="eastAsia"/>
          <w:szCs w:val="21"/>
        </w:rPr>
        <w:t xml:space="preserve"> </w:t>
      </w:r>
    </w:p>
    <w:p>
      <w:pPr>
        <w:jc w:val="center"/>
        <w:rPr>
          <w:sz w:val="36"/>
          <w:szCs w:val="36"/>
        </w:rPr>
      </w:pPr>
      <w:r>
        <w:rPr>
          <w:rFonts w:hint="eastAsia"/>
          <w:sz w:val="36"/>
          <w:szCs w:val="36"/>
        </w:rPr>
        <w:t>煤炭购销合同（煤泥）</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180" w:firstLine="316" w:firstLineChars="150"/>
        <w:rPr>
          <w:szCs w:val="21"/>
        </w:rPr>
      </w:pPr>
      <w:r>
        <w:rPr>
          <w:rFonts w:hint="eastAsia"/>
          <w:b/>
          <w:bCs/>
          <w:szCs w:val="21"/>
        </w:rPr>
        <w:t>煤炭品种</w:t>
      </w:r>
      <w:r>
        <w:rPr>
          <w:rFonts w:hint="eastAsia"/>
          <w:szCs w:val="21"/>
        </w:rPr>
        <w:t>：煤泥</w:t>
      </w:r>
    </w:p>
    <w:p>
      <w:pPr>
        <w:adjustRightInd w:val="0"/>
        <w:snapToGrid w:val="0"/>
        <w:ind w:left="315" w:leftChars="150"/>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tcPr>
          <w:p>
            <w:pPr>
              <w:jc w:val="center"/>
              <w:rPr>
                <w:szCs w:val="21"/>
              </w:rPr>
            </w:pPr>
            <w:r>
              <w:rPr>
                <w:rFonts w:hint="eastAsia"/>
                <w:szCs w:val="21"/>
              </w:rPr>
              <w:t>低位发热量</w:t>
            </w:r>
          </w:p>
          <w:p>
            <w:pPr>
              <w:jc w:val="center"/>
              <w:rPr>
                <w:szCs w:val="21"/>
              </w:rPr>
            </w:pPr>
          </w:p>
        </w:tc>
        <w:tc>
          <w:tcPr>
            <w:tcW w:w="1247" w:type="dxa"/>
          </w:tcPr>
          <w:p>
            <w:pPr>
              <w:jc w:val="center"/>
              <w:rPr>
                <w:szCs w:val="21"/>
              </w:rPr>
            </w:pPr>
            <w:r>
              <w:rPr>
                <w:rFonts w:hint="eastAsia"/>
                <w:szCs w:val="21"/>
              </w:rPr>
              <w:t>挥发份</w:t>
            </w:r>
          </w:p>
          <w:p>
            <w:pPr>
              <w:jc w:val="center"/>
              <w:rPr>
                <w:szCs w:val="21"/>
              </w:rPr>
            </w:pPr>
          </w:p>
        </w:tc>
        <w:tc>
          <w:tcPr>
            <w:tcW w:w="1229" w:type="dxa"/>
          </w:tcPr>
          <w:p>
            <w:pPr>
              <w:jc w:val="center"/>
              <w:rPr>
                <w:szCs w:val="21"/>
              </w:rPr>
            </w:pPr>
            <w:r>
              <w:rPr>
                <w:rFonts w:hint="eastAsia"/>
                <w:szCs w:val="21"/>
              </w:rPr>
              <w:t>全硫</w:t>
            </w:r>
          </w:p>
          <w:p>
            <w:pPr>
              <w:jc w:val="center"/>
              <w:rPr>
                <w:szCs w:val="21"/>
              </w:rPr>
            </w:pPr>
          </w:p>
        </w:tc>
        <w:tc>
          <w:tcPr>
            <w:tcW w:w="1522" w:type="dxa"/>
          </w:tcPr>
          <w:p>
            <w:pPr>
              <w:jc w:val="center"/>
              <w:rPr>
                <w:szCs w:val="21"/>
              </w:rPr>
            </w:pPr>
            <w:r>
              <w:rPr>
                <w:rFonts w:hint="eastAsia"/>
                <w:szCs w:val="21"/>
              </w:rPr>
              <w:t>全水份</w:t>
            </w:r>
          </w:p>
          <w:p>
            <w:pPr>
              <w:jc w:val="center"/>
              <w:rPr>
                <w:szCs w:val="21"/>
              </w:rPr>
            </w:pPr>
          </w:p>
        </w:tc>
        <w:tc>
          <w:tcPr>
            <w:tcW w:w="1320" w:type="dxa"/>
          </w:tcPr>
          <w:p>
            <w:pPr>
              <w:ind w:firstLine="210" w:firstLineChars="100"/>
              <w:jc w:val="center"/>
              <w:rPr>
                <w:rFonts w:eastAsia="宋体"/>
                <w:szCs w:val="21"/>
              </w:rPr>
            </w:pPr>
            <w:r>
              <w:rPr>
                <w:rFonts w:hint="eastAsia"/>
                <w:szCs w:val="21"/>
              </w:rPr>
              <w:t>外水</w:t>
            </w:r>
          </w:p>
        </w:tc>
        <w:tc>
          <w:tcPr>
            <w:tcW w:w="1302" w:type="dxa"/>
          </w:tcPr>
          <w:p>
            <w:pPr>
              <w:ind w:firstLine="210" w:firstLineChars="100"/>
              <w:jc w:val="center"/>
              <w:rPr>
                <w:szCs w:val="21"/>
              </w:rPr>
            </w:pPr>
            <w:r>
              <w:rPr>
                <w:rFonts w:hint="eastAsia"/>
                <w:szCs w:val="21"/>
              </w:rPr>
              <w:t>灰份</w:t>
            </w:r>
          </w:p>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797" w:type="dxa"/>
            <w:vAlign w:val="center"/>
          </w:tcPr>
          <w:p>
            <w:pPr>
              <w:jc w:val="center"/>
              <w:rPr>
                <w:szCs w:val="21"/>
              </w:rPr>
            </w:pPr>
          </w:p>
        </w:tc>
        <w:tc>
          <w:tcPr>
            <w:tcW w:w="1247" w:type="dxa"/>
            <w:vAlign w:val="center"/>
          </w:tcPr>
          <w:p>
            <w:pPr>
              <w:rPr>
                <w:rFonts w:eastAsia="宋体"/>
                <w:szCs w:val="21"/>
              </w:rPr>
            </w:pPr>
          </w:p>
        </w:tc>
        <w:tc>
          <w:tcPr>
            <w:tcW w:w="1229" w:type="dxa"/>
            <w:vAlign w:val="center"/>
          </w:tcPr>
          <w:p>
            <w:pPr>
              <w:jc w:val="center"/>
              <w:rPr>
                <w:szCs w:val="21"/>
              </w:rPr>
            </w:pPr>
          </w:p>
        </w:tc>
        <w:tc>
          <w:tcPr>
            <w:tcW w:w="1522" w:type="dxa"/>
            <w:vAlign w:val="center"/>
          </w:tcPr>
          <w:p>
            <w:pPr>
              <w:jc w:val="center"/>
              <w:rPr>
                <w:szCs w:val="21"/>
              </w:rPr>
            </w:pPr>
          </w:p>
        </w:tc>
        <w:tc>
          <w:tcPr>
            <w:tcW w:w="1320" w:type="dxa"/>
            <w:vAlign w:val="center"/>
          </w:tcPr>
          <w:p>
            <w:pPr>
              <w:spacing w:line="440" w:lineRule="exact"/>
              <w:jc w:val="center"/>
              <w:rPr>
                <w:szCs w:val="21"/>
              </w:rPr>
            </w:pPr>
          </w:p>
        </w:tc>
        <w:tc>
          <w:tcPr>
            <w:tcW w:w="1302" w:type="dxa"/>
            <w:vAlign w:val="center"/>
          </w:tcPr>
          <w:p>
            <w:pPr>
              <w:jc w:val="cente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 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1、低硫烟煤收到基低位发热量在</w:t>
      </w:r>
      <w:r>
        <w:rPr>
          <w:rFonts w:hint="eastAsia"/>
          <w:szCs w:val="21"/>
          <w:u w:val="single"/>
        </w:rPr>
        <w:t xml:space="preserve"> Q </w:t>
      </w:r>
      <w:r>
        <w:rPr>
          <w:rFonts w:hint="eastAsia"/>
          <w:szCs w:val="21"/>
        </w:rPr>
        <w:t>Kcal/Kg（含）以上时，按每大卡( 基准价/Q）元结算。</w:t>
      </w:r>
    </w:p>
    <w:p>
      <w:pPr>
        <w:ind w:firstLine="420" w:firstLineChars="200"/>
        <w:rPr>
          <w:szCs w:val="21"/>
        </w:rPr>
      </w:pPr>
      <w:r>
        <w:rPr>
          <w:rFonts w:hint="eastAsia"/>
          <w:szCs w:val="21"/>
        </w:rPr>
        <w:t>2．低硫烟煤收到基低位发热量在</w:t>
      </w:r>
      <w:r>
        <w:rPr>
          <w:rFonts w:hint="eastAsia"/>
          <w:szCs w:val="21"/>
          <w:u w:val="single"/>
        </w:rPr>
        <w:t>Q-200</w:t>
      </w:r>
      <w:r>
        <w:rPr>
          <w:rFonts w:hint="eastAsia"/>
          <w:szCs w:val="21"/>
        </w:rPr>
        <w:t xml:space="preserve"> Kcal/Kg（含）至</w:t>
      </w:r>
      <w:r>
        <w:rPr>
          <w:rFonts w:hint="eastAsia"/>
          <w:szCs w:val="21"/>
          <w:u w:val="single"/>
        </w:rPr>
        <w:t xml:space="preserve">  Q  </w:t>
      </w:r>
      <w:r>
        <w:rPr>
          <w:rFonts w:hint="eastAsia"/>
          <w:szCs w:val="21"/>
        </w:rPr>
        <w:t>Kcal/Kg之间时，按每大卡(基准价/Q-0.004) 元结算。</w:t>
      </w:r>
    </w:p>
    <w:p>
      <w:pPr>
        <w:ind w:firstLine="420" w:firstLineChars="200"/>
        <w:rPr>
          <w:szCs w:val="21"/>
        </w:rPr>
      </w:pPr>
      <w:r>
        <w:rPr>
          <w:rFonts w:hint="eastAsia"/>
          <w:szCs w:val="21"/>
        </w:rPr>
        <w:t>3、低硫烟煤收到基低位发热量低于</w:t>
      </w:r>
      <w:r>
        <w:rPr>
          <w:rFonts w:hint="eastAsia"/>
          <w:szCs w:val="21"/>
          <w:u w:val="single"/>
        </w:rPr>
        <w:t>Q-200</w:t>
      </w:r>
      <w:r>
        <w:rPr>
          <w:rFonts w:hint="eastAsia"/>
          <w:szCs w:val="21"/>
        </w:rPr>
        <w:t xml:space="preserve"> Kcal/Kg时，需方有权拒收低硫烟煤。</w:t>
      </w:r>
    </w:p>
    <w:p>
      <w:pPr>
        <w:ind w:firstLine="420" w:firstLineChars="200"/>
        <w:rPr>
          <w:szCs w:val="21"/>
        </w:rPr>
      </w:pPr>
      <w:r>
        <w:rPr>
          <w:rFonts w:hint="eastAsia"/>
          <w:szCs w:val="21"/>
        </w:rPr>
        <w:t>4、低硫烟煤收到基全硫在</w:t>
      </w:r>
      <w:r>
        <w:rPr>
          <w:rFonts w:hint="eastAsia"/>
          <w:szCs w:val="21"/>
          <w:u w:val="single"/>
        </w:rPr>
        <w:t xml:space="preserve"> X </w:t>
      </w:r>
      <w:r>
        <w:rPr>
          <w:rFonts w:hint="eastAsia"/>
          <w:szCs w:val="21"/>
        </w:rPr>
        <w:t>％至</w:t>
      </w:r>
      <w:r>
        <w:rPr>
          <w:rFonts w:hint="eastAsia"/>
          <w:szCs w:val="21"/>
          <w:u w:val="single"/>
        </w:rPr>
        <w:t>X＋0.2</w:t>
      </w:r>
      <w:r>
        <w:rPr>
          <w:rFonts w:hint="eastAsia"/>
          <w:szCs w:val="21"/>
        </w:rPr>
        <w:t>％之间时，按每高 0.1%扣减5元/吨结算，若全硫＞（X＋0.2）％时，需方有权拒收。</w:t>
      </w:r>
    </w:p>
    <w:p>
      <w:pPr>
        <w:ind w:firstLine="420" w:firstLineChars="200"/>
        <w:rPr>
          <w:szCs w:val="21"/>
        </w:rPr>
      </w:pPr>
      <w:r>
        <w:rPr>
          <w:rFonts w:hint="eastAsia"/>
          <w:szCs w:val="21"/>
        </w:rPr>
        <w:t>5、低硫烟煤收到基全水分在</w:t>
      </w:r>
      <w:r>
        <w:rPr>
          <w:rFonts w:hint="eastAsia"/>
          <w:szCs w:val="21"/>
          <w:u w:val="single"/>
        </w:rPr>
        <w:t xml:space="preserve"> X </w:t>
      </w:r>
      <w:r>
        <w:rPr>
          <w:rFonts w:hint="eastAsia"/>
          <w:szCs w:val="21"/>
        </w:rPr>
        <w:t>％ 至</w:t>
      </w:r>
      <w:r>
        <w:rPr>
          <w:rFonts w:hint="eastAsia"/>
          <w:szCs w:val="21"/>
          <w:u w:val="single"/>
        </w:rPr>
        <w:t>X＋1</w:t>
      </w:r>
      <w:r>
        <w:rPr>
          <w:rFonts w:hint="eastAsia"/>
          <w:szCs w:val="21"/>
        </w:rPr>
        <w:t>% 之间时，每高0.1%扣总吨位的0.1%数量，扣减水份不增加热值。全水超过</w:t>
      </w:r>
      <w:r>
        <w:rPr>
          <w:rFonts w:hint="eastAsia"/>
          <w:szCs w:val="21"/>
          <w:u w:val="single"/>
        </w:rPr>
        <w:t>X＋1</w:t>
      </w:r>
      <w:r>
        <w:rPr>
          <w:rFonts w:hint="eastAsia"/>
          <w:szCs w:val="21"/>
        </w:rPr>
        <w:t>％以上，每高0.1%扣总吨位的0.1%数量，扣减水份不增加热值，同时再加扣0.002元/大卡。</w:t>
      </w:r>
    </w:p>
    <w:p>
      <w:pPr>
        <w:ind w:firstLine="420" w:firstLineChars="200"/>
        <w:rPr>
          <w:szCs w:val="21"/>
        </w:rPr>
      </w:pPr>
      <w:r>
        <w:rPr>
          <w:rFonts w:hint="eastAsia"/>
          <w:szCs w:val="21"/>
        </w:rPr>
        <w:t>6、低硫烟煤收到基挥发份低于</w:t>
      </w:r>
      <w:r>
        <w:rPr>
          <w:rFonts w:hint="eastAsia"/>
          <w:szCs w:val="21"/>
          <w:u w:val="single"/>
        </w:rPr>
        <w:t xml:space="preserve"> X </w:t>
      </w:r>
      <w:r>
        <w:rPr>
          <w:rFonts w:hint="eastAsia"/>
          <w:szCs w:val="21"/>
        </w:rPr>
        <w:t>％时，按每低 1%扣减2 元/吨结算，不足1%按比例计算。</w:t>
      </w:r>
    </w:p>
    <w:p>
      <w:pPr>
        <w:adjustRightInd w:val="0"/>
        <w:snapToGrid w:val="0"/>
        <w:rPr>
          <w:szCs w:val="21"/>
        </w:rPr>
      </w:pPr>
      <w:r>
        <w:rPr>
          <w:rFonts w:hint="eastAsia"/>
          <w:color w:val="FF0000"/>
          <w:szCs w:val="21"/>
        </w:rPr>
        <w:t xml:space="preserve">   </w:t>
      </w:r>
      <w:r>
        <w:rPr>
          <w:rFonts w:hint="eastAsia"/>
          <w:szCs w:val="21"/>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adjustRightInd w:val="0"/>
        <w:snapToGrid w:val="0"/>
        <w:ind w:left="180" w:firstLine="315" w:firstLineChars="150"/>
        <w:rPr>
          <w:szCs w:val="21"/>
        </w:rPr>
      </w:pP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5、结算数量为根据本合同上述条款所述供需双方确定认可的数量。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rFonts w:eastAsia="宋体"/>
          <w:szCs w:val="20"/>
        </w:rPr>
      </w:pPr>
      <w:r>
        <w:rPr>
          <w:rFonts w:hint="eastAsia" w:asciiTheme="minorEastAsia" w:hAnsiTheme="minorEastAsia" w:cstheme="minorEastAsia"/>
          <w:bCs/>
          <w:szCs w:val="21"/>
        </w:rPr>
        <w:t>1、质量指标以需方（或双方确定的第三方）化验结果为准，</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p>
    <w:p>
      <w:pPr>
        <w:rPr>
          <w:rFonts w:eastAsia="宋体"/>
          <w:szCs w:val="20"/>
        </w:rPr>
      </w:pPr>
      <w:r>
        <w:rPr>
          <w:rFonts w:hint="eastAsia"/>
          <w:szCs w:val="20"/>
          <w:u w:val="single"/>
        </w:rPr>
        <w:t xml:space="preserve">                  </w:t>
      </w:r>
      <w:r>
        <w:rPr>
          <w:rFonts w:hint="eastAsia"/>
          <w:szCs w:val="20"/>
        </w:rPr>
        <w:t>检验（煤质水分指标仍按原检验结果）。</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widowControl/>
        <w:ind w:firstLine="420" w:firstLineChars="200"/>
        <w:jc w:val="left"/>
        <w:rPr>
          <w:rFonts w:asciiTheme="minorEastAsia" w:hAnsiTheme="minorEastAsia" w:cstheme="minorEastAsia"/>
          <w:bCs/>
          <w:szCs w:val="21"/>
        </w:rPr>
      </w:pP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widowControl/>
        <w:jc w:val="left"/>
        <w:rPr>
          <w:rFonts w:asciiTheme="minorEastAsia" w:hAnsiTheme="minorEastAsia" w:cstheme="minorEastAsia"/>
          <w:b/>
          <w:szCs w:val="21"/>
        </w:rPr>
      </w:pP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ind w:firstLine="420" w:firstLineChars="200"/>
        <w:textAlignment w:val="baseline"/>
        <w:rPr>
          <w:szCs w:val="21"/>
        </w:rPr>
      </w:pP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Cs/>
          <w:szCs w:val="21"/>
        </w:rPr>
      </w:pP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pStyle w:val="2"/>
        <w:rPr>
          <w:rFonts w:eastAsia="宋体"/>
        </w:rPr>
      </w:pP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rPr>
          <w:rFonts w:ascii="楷体" w:hAnsi="楷体" w:eastAsia="楷体" w:cs="Times New Roman"/>
          <w:sz w:val="28"/>
          <w:szCs w:val="28"/>
        </w:rPr>
      </w:pPr>
      <w:r>
        <w:rPr>
          <w:rFonts w:hint="eastAsia"/>
          <w:szCs w:val="21"/>
        </w:rPr>
        <w:t xml:space="preserve">签订时间：    年   月   </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rFonts w:ascii="楷体" w:hAnsi="楷体" w:eastAsia="楷体" w:cs="Times New Roman"/>
          <w:sz w:val="28"/>
          <w:szCs w:val="28"/>
        </w:rPr>
      </w:pPr>
      <w:r>
        <w:rPr>
          <w:rFonts w:hint="eastAsia"/>
          <w:szCs w:val="21"/>
        </w:rPr>
        <w:t xml:space="preserve"> </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57174"/>
    <w:rsid w:val="00080305"/>
    <w:rsid w:val="000A354F"/>
    <w:rsid w:val="000E46F7"/>
    <w:rsid w:val="000F4C8D"/>
    <w:rsid w:val="00131A19"/>
    <w:rsid w:val="00180FAC"/>
    <w:rsid w:val="002203B8"/>
    <w:rsid w:val="00275CA8"/>
    <w:rsid w:val="0028183A"/>
    <w:rsid w:val="002F1730"/>
    <w:rsid w:val="003012F1"/>
    <w:rsid w:val="00351784"/>
    <w:rsid w:val="00370FFD"/>
    <w:rsid w:val="00375BA8"/>
    <w:rsid w:val="00391844"/>
    <w:rsid w:val="003A5AC1"/>
    <w:rsid w:val="003B6FD7"/>
    <w:rsid w:val="003D0634"/>
    <w:rsid w:val="003E2211"/>
    <w:rsid w:val="003F2207"/>
    <w:rsid w:val="00432FC0"/>
    <w:rsid w:val="004411CF"/>
    <w:rsid w:val="004C4CF0"/>
    <w:rsid w:val="005172F5"/>
    <w:rsid w:val="005415F4"/>
    <w:rsid w:val="006025C5"/>
    <w:rsid w:val="00610750"/>
    <w:rsid w:val="00620A06"/>
    <w:rsid w:val="00650177"/>
    <w:rsid w:val="00691086"/>
    <w:rsid w:val="007400BA"/>
    <w:rsid w:val="00741B57"/>
    <w:rsid w:val="007C5C61"/>
    <w:rsid w:val="007D7AD4"/>
    <w:rsid w:val="00815147"/>
    <w:rsid w:val="008554CF"/>
    <w:rsid w:val="008926CF"/>
    <w:rsid w:val="0090757D"/>
    <w:rsid w:val="00937460"/>
    <w:rsid w:val="009669CB"/>
    <w:rsid w:val="009E01A3"/>
    <w:rsid w:val="009E4FE9"/>
    <w:rsid w:val="00A072BC"/>
    <w:rsid w:val="00A2146F"/>
    <w:rsid w:val="00B2655E"/>
    <w:rsid w:val="00B321E4"/>
    <w:rsid w:val="00B41ED7"/>
    <w:rsid w:val="00B86A99"/>
    <w:rsid w:val="00C000BD"/>
    <w:rsid w:val="00C954D3"/>
    <w:rsid w:val="00CB7DA4"/>
    <w:rsid w:val="00CD596D"/>
    <w:rsid w:val="00D35C9F"/>
    <w:rsid w:val="00D51E16"/>
    <w:rsid w:val="00D5603F"/>
    <w:rsid w:val="00D8205E"/>
    <w:rsid w:val="00DD3C98"/>
    <w:rsid w:val="00DF397C"/>
    <w:rsid w:val="00E14CA7"/>
    <w:rsid w:val="00E3173B"/>
    <w:rsid w:val="00E33E9A"/>
    <w:rsid w:val="00E92B10"/>
    <w:rsid w:val="00E94E7B"/>
    <w:rsid w:val="00EB6756"/>
    <w:rsid w:val="00EC7F31"/>
    <w:rsid w:val="00F01BF6"/>
    <w:rsid w:val="00F21E4F"/>
    <w:rsid w:val="010F35B2"/>
    <w:rsid w:val="01350465"/>
    <w:rsid w:val="015B521C"/>
    <w:rsid w:val="01917929"/>
    <w:rsid w:val="01B5085A"/>
    <w:rsid w:val="01E8701B"/>
    <w:rsid w:val="02117820"/>
    <w:rsid w:val="022112DE"/>
    <w:rsid w:val="023142B5"/>
    <w:rsid w:val="02664D97"/>
    <w:rsid w:val="02CF4378"/>
    <w:rsid w:val="03533CCF"/>
    <w:rsid w:val="03E43B84"/>
    <w:rsid w:val="03F20E28"/>
    <w:rsid w:val="040775A1"/>
    <w:rsid w:val="04982A06"/>
    <w:rsid w:val="04D01D83"/>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3C6910"/>
    <w:rsid w:val="194E1737"/>
    <w:rsid w:val="1986271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0902AE"/>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26248E"/>
    <w:rsid w:val="22366949"/>
    <w:rsid w:val="226B4AFD"/>
    <w:rsid w:val="229F2B6A"/>
    <w:rsid w:val="22A10541"/>
    <w:rsid w:val="22F57FBF"/>
    <w:rsid w:val="2308035C"/>
    <w:rsid w:val="23084FA2"/>
    <w:rsid w:val="233D47E1"/>
    <w:rsid w:val="23C62DA2"/>
    <w:rsid w:val="24104196"/>
    <w:rsid w:val="242C7809"/>
    <w:rsid w:val="24526400"/>
    <w:rsid w:val="245C00D7"/>
    <w:rsid w:val="249C5995"/>
    <w:rsid w:val="25280DBD"/>
    <w:rsid w:val="25657F20"/>
    <w:rsid w:val="25774A7E"/>
    <w:rsid w:val="2597217A"/>
    <w:rsid w:val="25A815FF"/>
    <w:rsid w:val="25DA2FE7"/>
    <w:rsid w:val="260623C8"/>
    <w:rsid w:val="267F2267"/>
    <w:rsid w:val="268A7DAF"/>
    <w:rsid w:val="273347B2"/>
    <w:rsid w:val="273C0056"/>
    <w:rsid w:val="274909AB"/>
    <w:rsid w:val="2750728E"/>
    <w:rsid w:val="27C67D3B"/>
    <w:rsid w:val="27CF1BDA"/>
    <w:rsid w:val="27FA4409"/>
    <w:rsid w:val="28B31819"/>
    <w:rsid w:val="28D47A27"/>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2575E1"/>
    <w:rsid w:val="30B00320"/>
    <w:rsid w:val="30CF024E"/>
    <w:rsid w:val="31140915"/>
    <w:rsid w:val="31204F79"/>
    <w:rsid w:val="318140BC"/>
    <w:rsid w:val="31856D1E"/>
    <w:rsid w:val="31A3002B"/>
    <w:rsid w:val="31C71A3E"/>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53EBA"/>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134E7"/>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1037D77"/>
    <w:rsid w:val="51861DC0"/>
    <w:rsid w:val="51A633CC"/>
    <w:rsid w:val="51C8065E"/>
    <w:rsid w:val="51DE5CFE"/>
    <w:rsid w:val="523C09CD"/>
    <w:rsid w:val="524422FC"/>
    <w:rsid w:val="52782446"/>
    <w:rsid w:val="52A06FD6"/>
    <w:rsid w:val="52C06835"/>
    <w:rsid w:val="52C7421C"/>
    <w:rsid w:val="530E1593"/>
    <w:rsid w:val="53262FB5"/>
    <w:rsid w:val="53546F55"/>
    <w:rsid w:val="53665BF2"/>
    <w:rsid w:val="53A90016"/>
    <w:rsid w:val="53C0143F"/>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9E0905"/>
    <w:rsid w:val="63F2282D"/>
    <w:rsid w:val="64002C11"/>
    <w:rsid w:val="644B3155"/>
    <w:rsid w:val="64932E43"/>
    <w:rsid w:val="64BF5897"/>
    <w:rsid w:val="65047BA6"/>
    <w:rsid w:val="652427C9"/>
    <w:rsid w:val="65617A47"/>
    <w:rsid w:val="657F7CA6"/>
    <w:rsid w:val="65913AB2"/>
    <w:rsid w:val="65B12981"/>
    <w:rsid w:val="65EA7496"/>
    <w:rsid w:val="66561F6D"/>
    <w:rsid w:val="66B44451"/>
    <w:rsid w:val="67555AF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0129F8"/>
    <w:rsid w:val="6B1602A8"/>
    <w:rsid w:val="6B232EBE"/>
    <w:rsid w:val="6B350C20"/>
    <w:rsid w:val="6B6369D5"/>
    <w:rsid w:val="6BA411C0"/>
    <w:rsid w:val="6BBA1210"/>
    <w:rsid w:val="6C5A1A48"/>
    <w:rsid w:val="6C877BA8"/>
    <w:rsid w:val="6D855971"/>
    <w:rsid w:val="6E0E486C"/>
    <w:rsid w:val="6E2C2815"/>
    <w:rsid w:val="6E473D9A"/>
    <w:rsid w:val="6E8A70E6"/>
    <w:rsid w:val="6EA12155"/>
    <w:rsid w:val="6F122B74"/>
    <w:rsid w:val="6FAF53B1"/>
    <w:rsid w:val="70281960"/>
    <w:rsid w:val="706B16CF"/>
    <w:rsid w:val="708462B8"/>
    <w:rsid w:val="70B76FCD"/>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67698A"/>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5C6DA6"/>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F28CF2-4EE3-45FB-8A3F-EBE84FF0904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1205</Words>
  <Characters>6874</Characters>
  <Lines>57</Lines>
  <Paragraphs>16</Paragraphs>
  <TotalTime>19</TotalTime>
  <ScaleCrop>false</ScaleCrop>
  <LinksUpToDate>false</LinksUpToDate>
  <CharactersWithSpaces>8063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2021-09-19T00:54:32Z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4D88E089027743E180AF16F5B5ABF1C6</vt:lpwstr>
  </property>
</Properties>
</file>