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南通苏润燃料有限公司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rPr>
        <w:t>煤炭采购招标文件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rPr>
        <w:t>2021年</w:t>
      </w:r>
      <w:r>
        <w:rPr>
          <w:rFonts w:hint="eastAsia" w:ascii="楷体" w:hAnsi="楷体" w:eastAsia="楷体"/>
          <w:sz w:val="32"/>
          <w:szCs w:val="32"/>
          <w:lang w:val="en-US" w:eastAsia="zh-CN"/>
        </w:rPr>
        <w:t>7</w:t>
      </w:r>
      <w:r>
        <w:rPr>
          <w:rFonts w:hint="eastAsia" w:ascii="楷体" w:hAnsi="楷体" w:eastAsia="楷体"/>
          <w:sz w:val="32"/>
          <w:szCs w:val="32"/>
        </w:rPr>
        <w:t>月</w:t>
      </w:r>
    </w:p>
    <w:p>
      <w:pPr>
        <w:jc w:val="left"/>
        <w:rPr>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jc w:val="left"/>
        <w:rPr>
          <w:rFonts w:eastAsia="宋体"/>
          <w:sz w:val="28"/>
          <w:szCs w:val="28"/>
        </w:rPr>
      </w:pPr>
    </w:p>
    <w:p>
      <w:pPr>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招标内容 </w:t>
      </w:r>
    </w:p>
    <w:p>
      <w:pPr>
        <w:ind w:firstLine="560" w:firstLineChars="200"/>
        <w:jc w:val="left"/>
        <w:rPr>
          <w:rFonts w:ascii="楷体" w:hAnsi="楷体" w:eastAsia="楷体"/>
          <w:sz w:val="28"/>
          <w:szCs w:val="28"/>
        </w:rPr>
      </w:pPr>
      <w:r>
        <w:rPr>
          <w:rFonts w:hint="eastAsia" w:ascii="楷体" w:hAnsi="楷体" w:eastAsia="楷体" w:cs="Times New Roman"/>
          <w:sz w:val="28"/>
          <w:szCs w:val="28"/>
        </w:rPr>
        <w:t>南通苏润燃料有限公司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rPr>
        <w:t>采购煤炭</w:t>
      </w:r>
      <w:r>
        <w:rPr>
          <w:rFonts w:hint="eastAsia" w:ascii="楷体" w:hAnsi="楷体" w:eastAsia="楷体" w:cs="Times New Roman"/>
          <w:sz w:val="28"/>
          <w:szCs w:val="28"/>
        </w:rPr>
        <w:t>。现对</w:t>
      </w:r>
      <w:r>
        <w:rPr>
          <w:rFonts w:hint="eastAsia" w:ascii="楷体" w:hAnsi="楷体" w:eastAsia="楷体"/>
          <w:sz w:val="28"/>
          <w:szCs w:val="28"/>
        </w:rPr>
        <w:t>本批煤炭在易煤网阳光采购平台（网址：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3"/>
          <w:rFonts w:hint="eastAsia" w:ascii="楷体" w:hAnsi="楷体" w:eastAsia="楷体"/>
          <w:sz w:val="28"/>
          <w:szCs w:val="28"/>
        </w:rPr>
        <w:t>https://bid.yimei180.com/）上</w:t>
      </w:r>
      <w:r>
        <w:rPr>
          <w:rStyle w:val="13"/>
          <w:rFonts w:hint="eastAsia" w:ascii="楷体" w:hAnsi="楷体" w:eastAsia="楷体" w:cs="Times New Roman"/>
          <w:sz w:val="28"/>
          <w:szCs w:val="28"/>
        </w:rPr>
        <w:t>进行公开采购招标，凡有意参加投标的企业请按要求编制投标文件，并按规定时间报价并提交投标文件。</w:t>
      </w:r>
      <w:r>
        <w:rPr>
          <w:rStyle w:val="13"/>
          <w:rFonts w:hint="eastAsia" w:ascii="楷体" w:hAnsi="楷体" w:eastAsia="楷体" w:cs="Times New Roman"/>
          <w:sz w:val="28"/>
          <w:szCs w:val="28"/>
        </w:rPr>
        <w:fldChar w:fldCharType="end"/>
      </w:r>
    </w:p>
    <w:p>
      <w:pPr>
        <w:numPr>
          <w:ilvl w:val="0"/>
          <w:numId w:val="1"/>
        </w:numPr>
        <w:jc w:val="left"/>
        <w:rPr>
          <w:rFonts w:ascii="楷体" w:hAnsi="楷体" w:eastAsia="楷体" w:cs="Times New Roman"/>
          <w:sz w:val="28"/>
          <w:szCs w:val="28"/>
        </w:rPr>
      </w:pPr>
      <w:r>
        <w:rPr>
          <w:rFonts w:hint="eastAsia" w:ascii="楷体" w:hAnsi="楷体" w:eastAsia="楷体" w:cs="Times New Roman"/>
          <w:sz w:val="28"/>
          <w:szCs w:val="28"/>
        </w:rPr>
        <w:t>采购内容及要求：</w:t>
      </w:r>
    </w:p>
    <w:p>
      <w:pPr>
        <w:jc w:val="left"/>
        <w:rPr>
          <w:rFonts w:hint="eastAsia" w:ascii="楷体" w:hAnsi="楷体" w:eastAsia="楷体" w:cs="Times New Roman"/>
          <w:color w:val="FF0000"/>
          <w:sz w:val="28"/>
          <w:szCs w:val="28"/>
          <w:lang w:eastAsia="zh-CN"/>
        </w:rPr>
      </w:pPr>
      <w:r>
        <w:rPr>
          <w:rFonts w:hint="eastAsia" w:ascii="楷体" w:hAnsi="楷体" w:eastAsia="楷体" w:cs="Times New Roman"/>
          <w:sz w:val="28"/>
          <w:szCs w:val="28"/>
        </w:rPr>
        <w:t xml:space="preserve">    </w:t>
      </w:r>
      <w:r>
        <w:rPr>
          <w:rFonts w:hint="eastAsia" w:ascii="楷体" w:hAnsi="楷体" w:eastAsia="楷体" w:cs="Times New Roman"/>
          <w:color w:val="FF0000"/>
          <w:sz w:val="28"/>
          <w:szCs w:val="28"/>
        </w:rPr>
        <w:t>1、电厂用煤炭：</w:t>
      </w:r>
      <w:r>
        <w:rPr>
          <w:rFonts w:hint="eastAsia" w:ascii="楷体" w:hAnsi="楷体" w:eastAsia="楷体" w:cs="Times New Roman"/>
          <w:color w:val="FF0000"/>
          <w:sz w:val="28"/>
          <w:szCs w:val="28"/>
          <w:lang w:eastAsia="zh-CN"/>
        </w:rPr>
        <w:t>煤泥</w:t>
      </w:r>
    </w:p>
    <w:p>
      <w:p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2、质量指标要求：</w:t>
      </w:r>
    </w:p>
    <w:tbl>
      <w:tblPr>
        <w:tblStyle w:val="10"/>
        <w:tblW w:w="652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955" w:type="dxa"/>
            <w:tcMar>
              <w:top w:w="0" w:type="dxa"/>
              <w:left w:w="108" w:type="dxa"/>
              <w:bottom w:w="0" w:type="dxa"/>
              <w:right w:w="108" w:type="dxa"/>
            </w:tcMar>
            <w:vAlign w:val="center"/>
          </w:tcPr>
          <w:p>
            <w:pPr>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955" w:type="dxa"/>
            <w:tcMar>
              <w:top w:w="0" w:type="dxa"/>
              <w:left w:w="108" w:type="dxa"/>
              <w:bottom w:w="0" w:type="dxa"/>
              <w:right w:w="108" w:type="dxa"/>
            </w:tcMar>
            <w:vAlign w:val="center"/>
          </w:tcPr>
          <w:p>
            <w:pPr>
              <w:spacing w:line="240" w:lineRule="auto"/>
              <w:jc w:val="center"/>
              <w:rPr>
                <w:rFonts w:ascii="楷体" w:hAnsi="楷体" w:eastAsia="楷体" w:cs="楷体"/>
                <w:color w:val="FF0000"/>
                <w:sz w:val="28"/>
                <w:szCs w:val="28"/>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收到基硫</w:t>
            </w:r>
          </w:p>
        </w:tc>
        <w:tc>
          <w:tcPr>
            <w:tcW w:w="2955" w:type="dxa"/>
            <w:tcMar>
              <w:top w:w="0" w:type="dxa"/>
              <w:left w:w="108" w:type="dxa"/>
              <w:bottom w:w="0" w:type="dxa"/>
              <w:right w:w="108" w:type="dxa"/>
            </w:tcMar>
            <w:vAlign w:val="center"/>
          </w:tcPr>
          <w:p>
            <w:pPr>
              <w:spacing w:line="240" w:lineRule="auto"/>
              <w:jc w:val="center"/>
              <w:rPr>
                <w:rFonts w:ascii="楷体" w:hAnsi="楷体" w:eastAsia="楷体" w:cs="楷体"/>
                <w:color w:val="FF0000"/>
                <w:sz w:val="28"/>
                <w:szCs w:val="28"/>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955" w:type="dxa"/>
            <w:tcMar>
              <w:top w:w="0" w:type="dxa"/>
              <w:left w:w="108" w:type="dxa"/>
              <w:bottom w:w="0" w:type="dxa"/>
              <w:right w:w="108" w:type="dxa"/>
            </w:tcMar>
            <w:vAlign w:val="center"/>
          </w:tcPr>
          <w:p>
            <w:pPr>
              <w:spacing w:line="240" w:lineRule="auto"/>
              <w:jc w:val="center"/>
              <w:rPr>
                <w:rFonts w:ascii="楷体" w:hAnsi="楷体" w:eastAsia="楷体" w:cs="楷体"/>
                <w:color w:val="FF0000"/>
                <w:sz w:val="28"/>
                <w:szCs w:val="28"/>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955" w:type="dxa"/>
            <w:tcMar>
              <w:top w:w="0" w:type="dxa"/>
              <w:left w:w="108" w:type="dxa"/>
              <w:bottom w:w="0" w:type="dxa"/>
              <w:right w:w="108" w:type="dxa"/>
            </w:tcMar>
            <w:vAlign w:val="center"/>
          </w:tcPr>
          <w:p>
            <w:pPr>
              <w:spacing w:line="240" w:lineRule="auto"/>
              <w:jc w:val="center"/>
              <w:rPr>
                <w:rFonts w:ascii="楷体" w:hAnsi="楷体" w:eastAsia="楷体" w:cs="楷体"/>
                <w:color w:val="FF0000"/>
                <w:sz w:val="28"/>
                <w:szCs w:val="28"/>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955" w:type="dxa"/>
            <w:tcMar>
              <w:top w:w="0" w:type="dxa"/>
              <w:left w:w="108" w:type="dxa"/>
              <w:bottom w:w="0" w:type="dxa"/>
              <w:right w:w="108" w:type="dxa"/>
            </w:tcMar>
            <w:vAlign w:val="center"/>
          </w:tcPr>
          <w:p>
            <w:pPr>
              <w:spacing w:line="240" w:lineRule="auto"/>
              <w:jc w:val="center"/>
              <w:rPr>
                <w:rFonts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955" w:type="dxa"/>
            <w:tcMar>
              <w:top w:w="0" w:type="dxa"/>
              <w:left w:w="108" w:type="dxa"/>
              <w:bottom w:w="0" w:type="dxa"/>
              <w:right w:w="108" w:type="dxa"/>
            </w:tcMar>
            <w:vAlign w:val="center"/>
          </w:tcPr>
          <w:p>
            <w:pPr>
              <w:spacing w:line="240" w:lineRule="auto"/>
              <w:jc w:val="center"/>
              <w:rPr>
                <w:rFonts w:ascii="楷体" w:hAnsi="楷体" w:eastAsia="楷体" w:cs="楷体"/>
                <w:color w:val="FF0000"/>
                <w:sz w:val="28"/>
                <w:szCs w:val="28"/>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焦渣特性</w:t>
            </w:r>
          </w:p>
        </w:tc>
        <w:tc>
          <w:tcPr>
            <w:tcW w:w="2955" w:type="dxa"/>
            <w:tcMar>
              <w:top w:w="0" w:type="dxa"/>
              <w:left w:w="108" w:type="dxa"/>
              <w:bottom w:w="0" w:type="dxa"/>
              <w:right w:w="108" w:type="dxa"/>
            </w:tcMar>
            <w:vAlign w:val="center"/>
          </w:tcPr>
          <w:p>
            <w:pPr>
              <w:spacing w:line="240" w:lineRule="auto"/>
              <w:jc w:val="center"/>
              <w:rPr>
                <w:rFonts w:ascii="楷体" w:hAnsi="楷体" w:eastAsia="楷体" w:cs="楷体"/>
                <w:color w:val="FF0000"/>
                <w:sz w:val="28"/>
                <w:szCs w:val="28"/>
              </w:rPr>
            </w:pPr>
            <w:r>
              <w:rPr>
                <w:rFonts w:hint="eastAsia" w:ascii="楷体" w:hAnsi="楷体" w:eastAsia="楷体" w:cs="楷体"/>
                <w:color w:val="FF000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955" w:type="dxa"/>
            <w:tcMar>
              <w:top w:w="0" w:type="dxa"/>
              <w:left w:w="108" w:type="dxa"/>
              <w:bottom w:w="0" w:type="dxa"/>
              <w:right w:w="108" w:type="dxa"/>
            </w:tcMar>
            <w:vAlign w:val="center"/>
          </w:tcPr>
          <w:p>
            <w:pPr>
              <w:jc w:val="center"/>
              <w:rPr>
                <w:rFonts w:ascii="楷体" w:hAnsi="楷体" w:eastAsia="楷体" w:cs="楷体"/>
                <w:color w:val="FF0000"/>
                <w:sz w:val="28"/>
                <w:szCs w:val="28"/>
              </w:rPr>
            </w:pPr>
            <w:r>
              <w:rPr>
                <w:rFonts w:hint="eastAsia" w:ascii="楷体" w:hAnsi="楷体" w:eastAsia="楷体" w:cs="楷体"/>
                <w:color w:val="FF0000"/>
                <w:sz w:val="28"/>
                <w:szCs w:val="28"/>
              </w:rPr>
              <w:t>10000</w:t>
            </w:r>
          </w:p>
        </w:tc>
      </w:tr>
    </w:tbl>
    <w:p>
      <w:pPr>
        <w:rPr>
          <w:rFonts w:ascii="楷体" w:hAnsi="楷体" w:eastAsia="楷体" w:cs="Times New Roman"/>
          <w:color w:val="FF0000"/>
          <w:sz w:val="28"/>
          <w:szCs w:val="28"/>
        </w:rPr>
      </w:pP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采购数量：</w:t>
      </w:r>
      <w:r>
        <w:rPr>
          <w:rFonts w:hint="eastAsia" w:ascii="楷体" w:hAnsi="楷体" w:eastAsia="楷体" w:cs="Times New Roman"/>
          <w:color w:val="FF0000"/>
          <w:sz w:val="28"/>
          <w:szCs w:val="28"/>
          <w:lang w:val="en-US" w:eastAsia="zh-CN"/>
        </w:rPr>
        <w:t>允许有±5 %的偏差（±5％以内）</w:t>
      </w:r>
      <w:r>
        <w:rPr>
          <w:rFonts w:hint="eastAsia" w:ascii="楷体" w:hAnsi="楷体" w:eastAsia="楷体" w:cs="Times New Roman"/>
          <w:color w:val="FF0000"/>
          <w:sz w:val="28"/>
          <w:szCs w:val="28"/>
        </w:rPr>
        <w:t>，每个投标单元数量为</w:t>
      </w:r>
      <w:r>
        <w:rPr>
          <w:rFonts w:hint="eastAsia" w:ascii="楷体" w:hAnsi="楷体" w:eastAsia="楷体" w:cs="Times New Roman"/>
          <w:color w:val="FF0000"/>
          <w:sz w:val="28"/>
          <w:szCs w:val="28"/>
          <w:lang w:val="en-US" w:eastAsia="zh-CN"/>
        </w:rPr>
        <w:t>3000-</w:t>
      </w:r>
      <w:r>
        <w:rPr>
          <w:rFonts w:hint="eastAsia" w:ascii="楷体" w:hAnsi="楷体" w:eastAsia="楷体" w:cs="Times New Roman"/>
          <w:color w:val="FF0000"/>
          <w:sz w:val="28"/>
          <w:szCs w:val="28"/>
        </w:rPr>
        <w:t xml:space="preserve">5000吨。    </w:t>
      </w:r>
    </w:p>
    <w:p>
      <w:pPr>
        <w:numPr>
          <w:ilvl w:val="0"/>
          <w:numId w:val="2"/>
        </w:numPr>
        <w:ind w:firstLine="56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交货时间及交货地点：</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交货时间：交货时间为2021年</w:t>
      </w:r>
      <w:r>
        <w:rPr>
          <w:rFonts w:hint="eastAsia" w:ascii="楷体" w:hAnsi="楷体" w:eastAsia="楷体" w:cs="Times New Roman"/>
          <w:color w:val="FF0000"/>
          <w:sz w:val="28"/>
          <w:szCs w:val="28"/>
          <w:lang w:val="en-US" w:eastAsia="zh-CN"/>
        </w:rPr>
        <w:t>7</w:t>
      </w:r>
      <w:r>
        <w:rPr>
          <w:rFonts w:hint="eastAsia" w:ascii="楷体" w:hAnsi="楷体" w:eastAsia="楷体" w:cs="Times New Roman"/>
          <w:color w:val="FF0000"/>
          <w:sz w:val="28"/>
          <w:szCs w:val="28"/>
        </w:rPr>
        <w:t>月</w:t>
      </w:r>
      <w:r>
        <w:rPr>
          <w:rFonts w:hint="eastAsia" w:ascii="楷体" w:hAnsi="楷体" w:eastAsia="楷体" w:cs="Times New Roman"/>
          <w:color w:val="FF0000"/>
          <w:sz w:val="28"/>
          <w:szCs w:val="28"/>
          <w:lang w:val="en-US" w:eastAsia="zh-CN"/>
        </w:rPr>
        <w:t>15</w:t>
      </w:r>
      <w:r>
        <w:rPr>
          <w:rFonts w:hint="eastAsia" w:ascii="楷体" w:hAnsi="楷体" w:eastAsia="楷体" w:cs="Times New Roman"/>
          <w:color w:val="FF0000"/>
          <w:sz w:val="28"/>
          <w:szCs w:val="28"/>
        </w:rPr>
        <w:t>日－2021年</w:t>
      </w:r>
      <w:r>
        <w:rPr>
          <w:rFonts w:hint="eastAsia" w:ascii="楷体" w:hAnsi="楷体" w:eastAsia="楷体" w:cs="Times New Roman"/>
          <w:color w:val="FF0000"/>
          <w:sz w:val="28"/>
          <w:szCs w:val="28"/>
          <w:lang w:val="en-US" w:eastAsia="zh-CN"/>
        </w:rPr>
        <w:t>8</w:t>
      </w:r>
      <w:r>
        <w:rPr>
          <w:rFonts w:hint="eastAsia" w:ascii="楷体" w:hAnsi="楷体" w:eastAsia="楷体" w:cs="Times New Roman"/>
          <w:color w:val="FF0000"/>
          <w:sz w:val="28"/>
          <w:szCs w:val="28"/>
        </w:rPr>
        <w:t>月</w:t>
      </w:r>
      <w:r>
        <w:rPr>
          <w:rFonts w:hint="eastAsia" w:ascii="楷体" w:hAnsi="楷体" w:eastAsia="楷体" w:cs="Times New Roman"/>
          <w:color w:val="FF0000"/>
          <w:sz w:val="28"/>
          <w:szCs w:val="28"/>
          <w:lang w:val="en-US" w:eastAsia="zh-CN"/>
        </w:rPr>
        <w:t>1</w:t>
      </w:r>
      <w:r>
        <w:rPr>
          <w:rFonts w:hint="eastAsia" w:ascii="楷体" w:hAnsi="楷体" w:eastAsia="楷体" w:cs="Times New Roman"/>
          <w:color w:val="FF0000"/>
          <w:sz w:val="28"/>
          <w:szCs w:val="28"/>
        </w:rPr>
        <w:t>0日 (</w:t>
      </w:r>
      <w:r>
        <w:rPr>
          <w:rFonts w:hint="eastAsia" w:ascii="楷体" w:hAnsi="楷体" w:eastAsia="楷体" w:cs="Times New Roman"/>
          <w:color w:val="FF0000"/>
          <w:sz w:val="28"/>
          <w:szCs w:val="28"/>
          <w:lang w:val="en-US" w:eastAsia="zh-CN"/>
        </w:rPr>
        <w:t>第一批次不少于3000吨需在2021年7月20日前到达，其他</w:t>
      </w:r>
      <w:r>
        <w:rPr>
          <w:rFonts w:hint="eastAsia" w:ascii="楷体" w:hAnsi="楷体" w:eastAsia="楷体" w:cs="Times New Roman"/>
          <w:color w:val="FF0000"/>
          <w:sz w:val="28"/>
          <w:szCs w:val="28"/>
        </w:rPr>
        <w:t>具体每批次到货时间及数量以需方通知为准)，逾期需方有权拒收。</w:t>
      </w:r>
    </w:p>
    <w:p>
      <w:pPr>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交货地点：</w:t>
      </w:r>
      <w:r>
        <w:rPr>
          <w:rFonts w:hint="eastAsia" w:ascii="楷体" w:hAnsi="楷体" w:eastAsia="楷体" w:cs="Times New Roman"/>
          <w:color w:val="FF0000"/>
          <w:sz w:val="28"/>
          <w:szCs w:val="28"/>
          <w:lang w:val="en-US" w:eastAsia="zh-CN"/>
        </w:rPr>
        <w:t>如东洋口环保热电有限</w:t>
      </w:r>
      <w:r>
        <w:rPr>
          <w:rFonts w:hint="default" w:ascii="楷体" w:hAnsi="楷体" w:eastAsia="楷体" w:cs="Times New Roman"/>
          <w:color w:val="FF0000"/>
          <w:sz w:val="28"/>
          <w:szCs w:val="28"/>
          <w:lang w:val="en-US" w:eastAsia="zh-CN"/>
        </w:rPr>
        <w:t>公司码头。</w:t>
      </w:r>
    </w:p>
    <w:p>
      <w:pPr>
        <w:rPr>
          <w:rFonts w:ascii="楷体" w:hAnsi="楷体" w:eastAsia="楷体" w:cs="Times New Roman"/>
          <w:color w:val="FF0000"/>
          <w:sz w:val="28"/>
          <w:szCs w:val="28"/>
        </w:rPr>
      </w:pPr>
      <w:r>
        <w:rPr>
          <w:rFonts w:hint="eastAsia" w:ascii="楷体" w:hAnsi="楷体" w:eastAsia="楷体" w:cs="Times New Roman"/>
          <w:color w:val="FF0000"/>
          <w:sz w:val="28"/>
          <w:szCs w:val="28"/>
        </w:rPr>
        <w:t xml:space="preserve">   5、合同格式详见附件</w:t>
      </w:r>
      <w:r>
        <w:rPr>
          <w:rFonts w:hint="eastAsia" w:ascii="楷体" w:hAnsi="楷体" w:eastAsia="楷体" w:cs="Times New Roman"/>
          <w:color w:val="FF0000"/>
          <w:sz w:val="28"/>
          <w:szCs w:val="28"/>
          <w:lang w:val="en-US" w:eastAsia="zh-CN"/>
        </w:rPr>
        <w:t>5</w:t>
      </w:r>
      <w:r>
        <w:rPr>
          <w:rFonts w:hint="eastAsia" w:ascii="楷体" w:hAnsi="楷体" w:eastAsia="楷体" w:cs="Times New Roman"/>
          <w:color w:val="FF0000"/>
          <w:sz w:val="28"/>
          <w:szCs w:val="28"/>
        </w:rPr>
        <w:t>：《购销合同》</w:t>
      </w:r>
    </w:p>
    <w:p>
      <w:pPr>
        <w:rPr>
          <w:rFonts w:ascii="楷体" w:hAnsi="楷体" w:eastAsia="楷体" w:cs="Times New Roman"/>
          <w:b/>
          <w:bCs/>
          <w:sz w:val="28"/>
          <w:szCs w:val="28"/>
        </w:rPr>
      </w:pPr>
      <w:r>
        <w:rPr>
          <w:rFonts w:hint="eastAsia" w:ascii="楷体" w:hAnsi="楷体" w:eastAsia="楷体" w:cs="Times New Roman"/>
          <w:b/>
          <w:bCs/>
          <w:sz w:val="28"/>
          <w:szCs w:val="28"/>
        </w:rPr>
        <w:t>二、对投标人要求</w:t>
      </w:r>
      <w:r>
        <w:rPr>
          <w:rFonts w:hint="eastAsia" w:ascii="宋体" w:hAnsi="宋体" w:eastAsia="楷体" w:cs="Times New Roman"/>
          <w:b/>
          <w:bCs/>
          <w:sz w:val="28"/>
          <w:szCs w:val="28"/>
        </w:rPr>
        <w:t> </w:t>
      </w:r>
      <w:bookmarkStart w:id="0" w:name="_GoBack"/>
      <w:bookmarkEnd w:id="0"/>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（二）注册资本金不低于人民币200万元。</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ascii="楷体" w:hAnsi="楷体" w:eastAsia="楷体" w:cs="Times New Roman"/>
          <w:sz w:val="28"/>
          <w:szCs w:val="28"/>
        </w:rPr>
      </w:pPr>
      <w:r>
        <w:rPr>
          <w:rFonts w:hint="eastAsia" w:ascii="楷体" w:hAnsi="楷体" w:eastAsia="楷体"/>
          <w:sz w:val="28"/>
          <w:szCs w:val="28"/>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ind w:firstLine="280" w:firstLineChars="100"/>
        <w:rPr>
          <w:rFonts w:ascii="楷体" w:hAnsi="楷体" w:cs="Times New Roman"/>
          <w:sz w:val="28"/>
          <w:szCs w:val="28"/>
          <w:lang w:eastAsia="zh-TW"/>
        </w:rPr>
      </w:pPr>
      <w:r>
        <w:rPr>
          <w:rFonts w:hint="eastAsia" w:ascii="楷体" w:hAnsi="楷体" w:eastAsia="楷体"/>
          <w:sz w:val="28"/>
          <w:szCs w:val="28"/>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且申请人在三年内无违约记录、无重大安全事故记录、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ind w:firstLine="280" w:firstLineChars="100"/>
        <w:rPr>
          <w:rFonts w:ascii="楷体" w:hAnsi="楷体" w:eastAsia="楷体" w:cs="Times New Roman"/>
          <w:sz w:val="28"/>
          <w:szCs w:val="28"/>
        </w:rPr>
      </w:pPr>
      <w:r>
        <w:rPr>
          <w:rFonts w:hint="eastAsia" w:ascii="楷体" w:hAnsi="楷体" w:eastAsia="楷体"/>
          <w:sz w:val="28"/>
          <w:szCs w:val="28"/>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ind w:firstLine="280" w:firstLineChars="100"/>
        <w:rPr>
          <w:rFonts w:ascii="楷体" w:hAnsi="楷体" w:eastAsia="楷体" w:cs="Times New Roman"/>
          <w:sz w:val="28"/>
          <w:szCs w:val="28"/>
        </w:rPr>
      </w:pPr>
      <w:r>
        <w:rPr>
          <w:rFonts w:hint="eastAsia" w:ascii="楷体" w:hAnsi="楷体" w:eastAsia="楷体"/>
          <w:sz w:val="28"/>
          <w:szCs w:val="28"/>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ind w:firstLine="280" w:firstLineChars="100"/>
        <w:rPr>
          <w:rFonts w:ascii="楷体" w:hAnsi="楷体" w:eastAsia="楷体" w:cs="Times New Roman"/>
          <w:sz w:val="28"/>
          <w:szCs w:val="28"/>
        </w:rPr>
      </w:pPr>
      <w:r>
        <w:rPr>
          <w:rFonts w:hint="eastAsia" w:ascii="楷体" w:hAnsi="楷体" w:eastAsia="楷体"/>
          <w:sz w:val="28"/>
          <w:szCs w:val="28"/>
        </w:rPr>
        <w:t>（八）</w:t>
      </w:r>
      <w:r>
        <w:rPr>
          <w:rFonts w:ascii="楷体" w:hAnsi="楷体" w:eastAsia="楷体" w:cs="Times New Roman"/>
          <w:sz w:val="28"/>
          <w:szCs w:val="28"/>
        </w:rPr>
        <w:t>近一年在招标人组织的其他招投标活动中存在弄虚作假行为的禁止参与本项目投标。</w:t>
      </w:r>
    </w:p>
    <w:p>
      <w:pPr>
        <w:ind w:firstLine="280" w:firstLineChars="100"/>
        <w:rPr>
          <w:rFonts w:ascii="楷体" w:hAnsi="楷体" w:eastAsia="楷体" w:cs="Times New Roman"/>
          <w:color w:val="2A2A2A"/>
          <w:sz w:val="28"/>
          <w:szCs w:val="28"/>
        </w:rPr>
      </w:pPr>
      <w:r>
        <w:rPr>
          <w:rFonts w:hint="eastAsia" w:ascii="楷体" w:hAnsi="楷体" w:eastAsia="楷体"/>
          <w:sz w:val="28"/>
          <w:szCs w:val="28"/>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ascii="Calibri" w:hAnsi="Calibri" w:eastAsia="楷体" w:cs="Times New Roman"/>
          <w:b/>
          <w:bCs/>
          <w:sz w:val="28"/>
          <w:szCs w:val="28"/>
        </w:rPr>
      </w:pPr>
      <w:r>
        <w:rPr>
          <w:rFonts w:hint="eastAsia" w:ascii="楷体" w:hAnsi="楷体" w:eastAsia="楷体" w:cs="Times New Roman"/>
          <w:b/>
          <w:bCs/>
          <w:sz w:val="28"/>
          <w:szCs w:val="28"/>
        </w:rPr>
        <w:t>三、投标文件的组成及</w:t>
      </w:r>
      <w:r>
        <w:rPr>
          <w:rFonts w:hint="eastAsia" w:ascii="Calibri" w:hAnsi="Calibri" w:eastAsia="楷体" w:cs="Times New Roman"/>
          <w:b/>
          <w:bCs/>
          <w:sz w:val="28"/>
          <w:szCs w:val="28"/>
        </w:rPr>
        <w:t>格式</w:t>
      </w:r>
    </w:p>
    <w:p>
      <w:pPr>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rPr>
        <w:t>（一）</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（2）法人代表授权委托书（格式见附件2）；</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（5）</w:t>
      </w:r>
      <w:r>
        <w:rPr>
          <w:rFonts w:hint="eastAsia" w:ascii="楷体" w:hAnsi="楷体" w:eastAsia="楷体"/>
          <w:sz w:val="28"/>
          <w:szCs w:val="28"/>
        </w:rPr>
        <w:t>煤炭</w:t>
      </w:r>
      <w:r>
        <w:rPr>
          <w:rFonts w:hint="eastAsia" w:ascii="楷体" w:hAnsi="楷体" w:eastAsia="楷体" w:cs="Times New Roman"/>
          <w:sz w:val="28"/>
          <w:szCs w:val="28"/>
        </w:rPr>
        <w:t>销售业绩证明。</w:t>
      </w:r>
    </w:p>
    <w:p>
      <w:pPr>
        <w:ind w:firstLine="560" w:firstLineChars="200"/>
        <w:rPr>
          <w:rFonts w:hint="eastAsia" w:ascii="楷体" w:hAnsi="楷体" w:eastAsia="楷体" w:cs="Times New Roman"/>
          <w:b/>
          <w:bCs/>
          <w:sz w:val="28"/>
          <w:szCs w:val="28"/>
        </w:rPr>
      </w:pPr>
      <w:r>
        <w:rPr>
          <w:rFonts w:hint="eastAsia" w:ascii="楷体" w:hAnsi="楷体" w:eastAsia="楷体" w:cs="Times New Roman"/>
          <w:sz w:val="28"/>
          <w:szCs w:val="28"/>
        </w:rPr>
        <w:t>2、商务文件材料的构成及格式：</w:t>
      </w:r>
      <w:r>
        <w:rPr>
          <w:rFonts w:hint="eastAsia" w:ascii="楷体" w:hAnsi="楷体" w:eastAsia="楷体" w:cs="Times New Roman"/>
          <w:b/>
          <w:bCs/>
          <w:sz w:val="28"/>
          <w:szCs w:val="28"/>
        </w:rPr>
        <w:t>煤炭投标书（详见附件3）</w:t>
      </w:r>
    </w:p>
    <w:p>
      <w:pPr>
        <w:ind w:firstLine="562" w:firstLineChars="200"/>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3、差异表（商务、技术参数）:</w:t>
      </w:r>
      <w:r>
        <w:rPr>
          <w:rFonts w:hint="eastAsia" w:ascii="楷体" w:hAnsi="楷体" w:eastAsia="楷体" w:cs="Times New Roman"/>
          <w:b/>
          <w:bCs/>
          <w:sz w:val="28"/>
          <w:szCs w:val="28"/>
        </w:rPr>
        <w:t>（详见附件</w:t>
      </w:r>
      <w:r>
        <w:rPr>
          <w:rFonts w:hint="eastAsia" w:ascii="楷体" w:hAnsi="楷体" w:eastAsia="楷体" w:cs="Times New Roman"/>
          <w:b/>
          <w:bCs/>
          <w:sz w:val="28"/>
          <w:szCs w:val="28"/>
          <w:lang w:val="en-US" w:eastAsia="zh-CN"/>
        </w:rPr>
        <w:t>4</w:t>
      </w:r>
      <w:r>
        <w:rPr>
          <w:rFonts w:hint="eastAsia" w:ascii="楷体" w:hAnsi="楷体" w:eastAsia="楷体" w:cs="Times New Roman"/>
          <w:b/>
          <w:bCs/>
          <w:sz w:val="28"/>
          <w:szCs w:val="28"/>
        </w:rPr>
        <w:t>）</w:t>
      </w:r>
    </w:p>
    <w:p>
      <w:pPr>
        <w:rPr>
          <w:rFonts w:ascii="楷体" w:hAnsi="楷体" w:eastAsia="楷体" w:cs="Times New Roman"/>
          <w:b/>
          <w:bCs/>
          <w:sz w:val="28"/>
          <w:szCs w:val="28"/>
        </w:rPr>
      </w:pPr>
      <w:r>
        <w:rPr>
          <w:rFonts w:hint="eastAsia" w:ascii="楷体" w:hAnsi="楷体" w:eastAsia="楷体" w:cs="Times New Roman"/>
          <w:b/>
          <w:bCs/>
          <w:sz w:val="28"/>
          <w:szCs w:val="28"/>
        </w:rPr>
        <w:t>四、投标要求</w:t>
      </w:r>
      <w:r>
        <w:rPr>
          <w:rFonts w:hint="eastAsia" w:ascii="宋体" w:hAnsi="宋体" w:eastAsia="楷体" w:cs="Times New Roman"/>
          <w:b/>
          <w:bCs/>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（一）投标过程中，不得串通恶意压价或抬价及恶意干扰招标活动，一经发现违反规定，取消中标资格。</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cs="Times New Roman"/>
          <w:sz w:val="28"/>
          <w:szCs w:val="28"/>
          <w:lang w:eastAsia="zh-TW"/>
        </w:rPr>
      </w:pPr>
      <w:r>
        <w:rPr>
          <w:rFonts w:hint="eastAsia" w:ascii="楷体" w:hAnsi="楷体" w:eastAsia="楷体" w:cs="Times New Roman"/>
          <w:sz w:val="28"/>
          <w:szCs w:val="28"/>
        </w:rPr>
        <w:t>（三）中标人不得向他人转让中标项目，也不得将中标项目部分向他人转让，否则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（四）标书投递时间及要求</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1、投标截止时间：</w:t>
      </w:r>
      <w:r>
        <w:rPr>
          <w:rFonts w:hint="eastAsia" w:ascii="楷体" w:hAnsi="楷体" w:eastAsia="楷体" w:cs="Times New Roman"/>
          <w:sz w:val="28"/>
          <w:szCs w:val="28"/>
          <w:u w:val="single"/>
        </w:rPr>
        <w:t xml:space="preserve">  2021 </w:t>
      </w:r>
      <w:r>
        <w:rPr>
          <w:rFonts w:hint="eastAsia" w:ascii="楷体" w:hAnsi="楷体" w:eastAsia="楷体" w:cs="Times New Roman"/>
          <w:color w:val="2A2A2A"/>
          <w:sz w:val="28"/>
          <w:szCs w:val="28"/>
          <w:u w:val="single"/>
        </w:rPr>
        <w:t>年</w:t>
      </w:r>
      <w:r>
        <w:rPr>
          <w:rFonts w:hint="eastAsia" w:ascii="楷体" w:hAnsi="楷体" w:eastAsia="楷体" w:cs="Times New Roman"/>
          <w:color w:val="2A2A2A"/>
          <w:sz w:val="28"/>
          <w:szCs w:val="28"/>
          <w:u w:val="single"/>
          <w:lang w:val="en-US" w:eastAsia="zh-CN"/>
        </w:rPr>
        <w:t>7</w:t>
      </w:r>
      <w:r>
        <w:rPr>
          <w:rFonts w:hint="eastAsia" w:ascii="楷体" w:hAnsi="楷体" w:eastAsia="楷体" w:cs="Times New Roman"/>
          <w:color w:val="2A2A2A"/>
          <w:sz w:val="28"/>
          <w:szCs w:val="28"/>
          <w:u w:val="single"/>
        </w:rPr>
        <w:t xml:space="preserve"> 月</w:t>
      </w:r>
      <w:r>
        <w:rPr>
          <w:rFonts w:hint="eastAsia" w:ascii="楷体" w:hAnsi="楷体" w:eastAsia="楷体" w:cs="Times New Roman"/>
          <w:color w:val="2A2A2A"/>
          <w:sz w:val="28"/>
          <w:szCs w:val="28"/>
          <w:u w:val="single"/>
          <w:lang w:val="en-US" w:eastAsia="zh-CN"/>
        </w:rPr>
        <w:t>12</w:t>
      </w:r>
      <w:r>
        <w:rPr>
          <w:rFonts w:hint="eastAsia" w:ascii="楷体" w:hAnsi="楷体" w:eastAsia="楷体" w:cs="Times New Roman"/>
          <w:color w:val="2A2A2A"/>
          <w:sz w:val="28"/>
          <w:szCs w:val="28"/>
          <w:u w:val="single"/>
        </w:rPr>
        <w:t>日</w:t>
      </w:r>
      <w:r>
        <w:rPr>
          <w:rFonts w:hint="eastAsia" w:ascii="楷体" w:hAnsi="楷体" w:eastAsia="楷体" w:cs="Times New Roman"/>
          <w:color w:val="2A2A2A"/>
          <w:sz w:val="28"/>
          <w:szCs w:val="28"/>
          <w:u w:val="single"/>
          <w:lang w:val="en-US" w:eastAsia="zh-CN"/>
        </w:rPr>
        <w:t>14</w:t>
      </w:r>
      <w:r>
        <w:rPr>
          <w:rFonts w:hint="eastAsia" w:ascii="楷体" w:hAnsi="楷体" w:eastAsia="楷体" w:cs="Times New Roman"/>
          <w:color w:val="2A2A2A"/>
          <w:sz w:val="28"/>
          <w:szCs w:val="28"/>
          <w:u w:val="single"/>
        </w:rPr>
        <w:t xml:space="preserve"> 时 00 分</w:t>
      </w:r>
      <w:r>
        <w:rPr>
          <w:rFonts w:hint="eastAsia" w:ascii="楷体" w:hAnsi="楷体" w:eastAsia="楷体" w:cs="Times New Roman"/>
          <w:sz w:val="28"/>
          <w:szCs w:val="28"/>
        </w:rPr>
        <w:t>。</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2、投标人必须在投标截止时间前将投标人自行编制的投标文件，按招标人要求，于指定时间递交，逾期视为自动放弃。</w:t>
      </w:r>
    </w:p>
    <w:p>
      <w:pPr>
        <w:rPr>
          <w:rFonts w:ascii="楷体" w:hAnsi="楷体" w:eastAsia="楷体" w:cs="Times New Roman"/>
          <w:b/>
          <w:bCs/>
          <w:sz w:val="28"/>
          <w:szCs w:val="28"/>
        </w:rPr>
      </w:pPr>
      <w:r>
        <w:rPr>
          <w:rFonts w:hint="eastAsia" w:ascii="楷体" w:hAnsi="楷体" w:eastAsia="楷体" w:cs="Times New Roman"/>
          <w:b/>
          <w:bCs/>
          <w:sz w:val="28"/>
          <w:szCs w:val="28"/>
        </w:rPr>
        <w:t>五、招标相关事项联系人</w:t>
      </w:r>
    </w:p>
    <w:p>
      <w:pPr>
        <w:ind w:firstLine="560"/>
        <w:rPr>
          <w:rFonts w:ascii="楷体" w:hAnsi="楷体" w:eastAsia="楷体" w:cs="Times New Roman"/>
          <w:sz w:val="28"/>
          <w:szCs w:val="28"/>
        </w:rPr>
      </w:pPr>
      <w:r>
        <w:rPr>
          <w:rFonts w:hint="eastAsia" w:ascii="楷体" w:hAnsi="楷体" w:eastAsia="楷体" w:cs="Times New Roman"/>
          <w:sz w:val="28"/>
          <w:szCs w:val="28"/>
        </w:rPr>
        <w:t>联系人：陶志杨            电话：15896265722</w:t>
      </w:r>
    </w:p>
    <w:p>
      <w:pPr>
        <w:ind w:firstLine="560"/>
        <w:rPr>
          <w:rFonts w:ascii="楷体" w:hAnsi="楷体" w:eastAsia="楷体" w:cs="Times New Roman"/>
          <w:sz w:val="28"/>
          <w:szCs w:val="28"/>
        </w:rPr>
      </w:pPr>
      <w:r>
        <w:rPr>
          <w:rFonts w:hint="eastAsia" w:ascii="楷体" w:hAnsi="楷体" w:eastAsia="楷体" w:cs="Times New Roman"/>
          <w:sz w:val="28"/>
          <w:szCs w:val="28"/>
        </w:rPr>
        <w:t>收件地址：南通市经济开发区苏润101大厦22楼</w:t>
      </w:r>
    </w:p>
    <w:p>
      <w:pPr>
        <w:rPr>
          <w:rFonts w:ascii="楷体" w:hAnsi="楷体" w:eastAsia="楷体" w:cs="Times New Roman"/>
          <w:b/>
          <w:bCs/>
          <w:sz w:val="28"/>
          <w:szCs w:val="28"/>
        </w:rPr>
      </w:pPr>
      <w:r>
        <w:rPr>
          <w:rFonts w:hint="eastAsia" w:ascii="楷体" w:hAnsi="楷体" w:eastAsia="楷体" w:cs="Times New Roman"/>
          <w:b/>
          <w:bCs/>
          <w:sz w:val="28"/>
          <w:szCs w:val="28"/>
        </w:rPr>
        <w:t>六、投标保证金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（一）本项目投标保证金为</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u w:val="single"/>
          <w:lang w:val="en-US" w:eastAsia="zh-CN"/>
        </w:rPr>
        <w:t>20元/吨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，投标人投标时须将投标保证金在本项目开标24小时前汇入以下帐户：</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开户名：南通苏润燃料有限公司</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开户行：工行开发区支行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帐  号：1111824119100507254</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1、投标人投送了投标文件后，在招标文件规定的有效期内撤回其投标的；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2、开标后要求修改其投标金额；</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3、被通知中标后，拒绝按招标文件规定签订合同；</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4、投标文件中有虚假材料的。</w:t>
      </w:r>
    </w:p>
    <w:p>
      <w:pPr>
        <w:autoSpaceDE w:val="0"/>
        <w:autoSpaceDN w:val="0"/>
        <w:adjustRightInd w:val="0"/>
        <w:ind w:firstLine="560" w:firstLineChars="200"/>
        <w:textAlignment w:val="baseline"/>
        <w:rPr>
          <w:rFonts w:ascii="楷体" w:hAnsi="楷体" w:eastAsia="楷体" w:cs="Times New Roman"/>
          <w:sz w:val="28"/>
          <w:szCs w:val="28"/>
        </w:rPr>
      </w:pPr>
      <w:r>
        <w:rPr>
          <w:rFonts w:hint="eastAsia" w:ascii="楷体" w:hAnsi="楷体" w:eastAsia="楷体" w:cs="Times New Roman"/>
          <w:sz w:val="28"/>
          <w:szCs w:val="28"/>
        </w:rPr>
        <w:t>当出现上述行为之一时，招标人即可不退还其投标保证金。</w:t>
      </w:r>
    </w:p>
    <w:p>
      <w:pPr>
        <w:autoSpaceDE w:val="0"/>
        <w:autoSpaceDN w:val="0"/>
        <w:adjustRightInd w:val="0"/>
        <w:ind w:firstLine="280" w:firstLineChars="100"/>
        <w:textAlignment w:val="baseline"/>
        <w:rPr>
          <w:rFonts w:ascii="楷体" w:hAnsi="楷体" w:eastAsia="楷体" w:cs="Times New Roman"/>
          <w:sz w:val="28"/>
          <w:szCs w:val="28"/>
        </w:rPr>
      </w:pPr>
      <w:r>
        <w:rPr>
          <w:rFonts w:hint="eastAsia" w:ascii="楷体" w:hAnsi="楷体" w:eastAsia="楷体" w:cs="Times New Roman"/>
          <w:sz w:val="28"/>
          <w:szCs w:val="28"/>
        </w:rPr>
        <w:t>（三）对于未能按要求提交投标保证金的投标单位，招标单位将视其为不响应投标。</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（四）未中标单位的投标保证金于定标后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（五）中标单位投标保证金在其履约保证金到账后</w:t>
      </w:r>
      <w:r>
        <w:rPr>
          <w:rFonts w:hint="eastAsia" w:ascii="楷体" w:hAnsi="楷体" w:eastAsia="楷体" w:cs="Times New Roman"/>
          <w:sz w:val="28"/>
          <w:szCs w:val="28"/>
          <w:u w:val="single"/>
        </w:rPr>
        <w:t xml:space="preserve"> 3 </w:t>
      </w:r>
      <w:r>
        <w:rPr>
          <w:rFonts w:hint="eastAsia" w:ascii="楷体" w:hAnsi="楷体" w:eastAsia="楷体" w:cs="Times New Roman"/>
          <w:sz w:val="28"/>
          <w:szCs w:val="28"/>
        </w:rPr>
        <w:t>天内无息退还。</w:t>
      </w:r>
    </w:p>
    <w:p>
      <w:pPr>
        <w:rPr>
          <w:rFonts w:ascii="楷体" w:hAnsi="楷体" w:eastAsia="楷体" w:cs="Times New Roman"/>
          <w:b/>
          <w:bCs/>
          <w:sz w:val="28"/>
          <w:szCs w:val="28"/>
        </w:rPr>
      </w:pPr>
      <w:r>
        <w:rPr>
          <w:rFonts w:hint="eastAsia" w:ascii="楷体" w:hAnsi="楷体" w:eastAsia="楷体" w:cs="Times New Roman"/>
          <w:b/>
          <w:bCs/>
          <w:sz w:val="28"/>
          <w:szCs w:val="28"/>
        </w:rPr>
        <w:t>七、履约保证金</w:t>
      </w:r>
    </w:p>
    <w:p>
      <w:pPr>
        <w:ind w:firstLine="562" w:firstLineChars="200"/>
        <w:rPr>
          <w:rFonts w:ascii="楷体" w:hAnsi="楷体" w:eastAsia="楷体" w:cs="Times New Roman"/>
          <w:sz w:val="28"/>
          <w:szCs w:val="28"/>
        </w:rPr>
      </w:pPr>
      <w:r>
        <w:rPr>
          <w:rFonts w:hint="eastAsia" w:ascii="楷体" w:hAnsi="楷体" w:eastAsia="楷体" w:cs="Times New Roman"/>
          <w:b/>
          <w:bCs/>
          <w:sz w:val="28"/>
          <w:szCs w:val="28"/>
          <w:lang w:val="en-US" w:eastAsia="zh-CN"/>
        </w:rPr>
        <w:t>中标单位投标保证金自动转为</w:t>
      </w:r>
      <w:r>
        <w:rPr>
          <w:rFonts w:hint="eastAsia" w:ascii="楷体" w:hAnsi="楷体" w:eastAsia="楷体" w:cs="Times New Roman"/>
          <w:b/>
          <w:bCs/>
          <w:sz w:val="28"/>
          <w:szCs w:val="28"/>
        </w:rPr>
        <w:t>合同履约保证金，</w:t>
      </w:r>
      <w:r>
        <w:rPr>
          <w:rFonts w:hint="eastAsia" w:ascii="楷体" w:hAnsi="楷体" w:eastAsia="楷体" w:cs="Times New Roman"/>
          <w:sz w:val="28"/>
          <w:szCs w:val="28"/>
        </w:rPr>
        <w:t>中标方收到中标通知书后，在签订合同前以银行转账或汇票的方式支付，合同履行完毕且双方无争议的情况下无息退还。</w:t>
      </w:r>
    </w:p>
    <w:p>
      <w:pPr>
        <w:rPr>
          <w:rFonts w:ascii="楷体" w:hAnsi="楷体" w:eastAsia="楷体" w:cs="Times New Roman"/>
          <w:b/>
          <w:bCs/>
          <w:sz w:val="28"/>
          <w:szCs w:val="28"/>
        </w:rPr>
      </w:pPr>
      <w:r>
        <w:rPr>
          <w:rFonts w:hint="eastAsia" w:ascii="楷体" w:hAnsi="楷体" w:eastAsia="楷体" w:cs="Times New Roman"/>
          <w:b/>
          <w:bCs/>
          <w:sz w:val="28"/>
          <w:szCs w:val="28"/>
        </w:rPr>
        <w:t>八、投标文件编制与递交 </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（一）投标方应在电子平台“</w:t>
      </w:r>
      <w:r>
        <w:rPr>
          <w:rFonts w:hint="eastAsia" w:ascii="楷体" w:hAnsi="楷体" w:eastAsia="楷体"/>
          <w:color w:val="FF0000"/>
          <w:sz w:val="28"/>
          <w:szCs w:val="28"/>
        </w:rPr>
        <w:t>易煤网阳光采购平台”（网址：</w:t>
      </w:r>
      <w:r>
        <w:fldChar w:fldCharType="begin"/>
      </w:r>
      <w:r>
        <w:instrText xml:space="preserve"> HYPERLINK "https://bid.yimei180.com/）上进行公开采购招标，凡有意参加投标的企业请按要求编制投标文件，并按规定时间报价并提交投标文件。" </w:instrText>
      </w:r>
      <w:r>
        <w:fldChar w:fldCharType="separate"/>
      </w:r>
      <w:r>
        <w:rPr>
          <w:rStyle w:val="13"/>
          <w:rFonts w:hint="eastAsia" w:ascii="楷体" w:hAnsi="楷体" w:eastAsia="楷体"/>
          <w:color w:val="FF0000"/>
          <w:sz w:val="28"/>
          <w:szCs w:val="28"/>
          <w:u w:val="none"/>
        </w:rPr>
        <w:t>https://bid.yimei180.com/）上</w:t>
      </w:r>
      <w:r>
        <w:rPr>
          <w:rStyle w:val="13"/>
          <w:rFonts w:hint="eastAsia" w:ascii="楷体" w:hAnsi="楷体" w:eastAsia="楷体" w:cs="Times New Roman"/>
          <w:color w:val="FF0000"/>
          <w:sz w:val="28"/>
          <w:szCs w:val="28"/>
          <w:u w:val="none"/>
        </w:rPr>
        <w:t>进行投标，请按要求编制投标文件，并按平台规定填写，规定时间报价并提交投标文件。</w:t>
      </w:r>
      <w:r>
        <w:rPr>
          <w:rStyle w:val="13"/>
          <w:rFonts w:hint="eastAsia" w:ascii="楷体" w:hAnsi="楷体" w:eastAsia="楷体" w:cs="Times New Roman"/>
          <w:color w:val="FF0000"/>
          <w:sz w:val="28"/>
          <w:szCs w:val="28"/>
          <w:u w:val="none"/>
        </w:rPr>
        <w:fldChar w:fldCharType="end"/>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（二）投标文件的技术材料应密封包装，封面应标明材料名称，材料封口应加盖企业公章，邮寄至指定联系人处。</w:t>
      </w:r>
    </w:p>
    <w:p>
      <w:pPr>
        <w:ind w:firstLine="280" w:firstLineChars="100"/>
        <w:rPr>
          <w:rFonts w:ascii="楷体" w:hAnsi="楷体" w:eastAsia="楷体" w:cs="Times New Roman"/>
          <w:color w:val="FF0000"/>
          <w:sz w:val="28"/>
          <w:szCs w:val="28"/>
        </w:rPr>
      </w:pPr>
      <w:r>
        <w:rPr>
          <w:rFonts w:hint="eastAsia" w:ascii="楷体" w:hAnsi="楷体" w:eastAsia="楷体" w:cs="Times New Roman"/>
          <w:color w:val="FF0000"/>
          <w:sz w:val="28"/>
          <w:szCs w:val="28"/>
        </w:rPr>
        <w:t>（三）招标文件的商务材料应按附件3格式填报，加盖企业公章后以电子扫描件版本上传易煤网阳光采购平台。</w:t>
      </w:r>
    </w:p>
    <w:p>
      <w:pPr>
        <w:rPr>
          <w:rFonts w:ascii="楷体" w:hAnsi="楷体" w:eastAsia="楷体" w:cs="Times New Roman"/>
          <w:b/>
          <w:bCs/>
          <w:sz w:val="28"/>
          <w:szCs w:val="28"/>
        </w:rPr>
      </w:pPr>
      <w:r>
        <w:rPr>
          <w:rFonts w:hint="eastAsia" w:ascii="楷体" w:hAnsi="楷体" w:eastAsia="楷体" w:cs="Times New Roman"/>
          <w:b/>
          <w:bCs/>
          <w:sz w:val="28"/>
          <w:szCs w:val="28"/>
        </w:rPr>
        <w:t>九、开标时间和地点：</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（一）开标时间：</w:t>
      </w:r>
      <w:r>
        <w:rPr>
          <w:rFonts w:hint="eastAsia" w:ascii="楷体" w:hAnsi="楷体" w:eastAsia="楷体" w:cs="Times New Roman"/>
          <w:sz w:val="28"/>
          <w:szCs w:val="28"/>
          <w:u w:val="single"/>
        </w:rPr>
        <w:t xml:space="preserve"> 2021 年</w:t>
      </w:r>
      <w:r>
        <w:rPr>
          <w:rFonts w:hint="eastAsia" w:ascii="楷体" w:hAnsi="楷体" w:eastAsia="楷体" w:cs="Times New Roman"/>
          <w:sz w:val="28"/>
          <w:szCs w:val="28"/>
          <w:u w:val="single"/>
          <w:lang w:val="en-US" w:eastAsia="zh-CN"/>
        </w:rPr>
        <w:t>7</w:t>
      </w:r>
      <w:r>
        <w:rPr>
          <w:rFonts w:hint="eastAsia" w:ascii="楷体" w:hAnsi="楷体" w:eastAsia="楷体" w:cs="Times New Roman"/>
          <w:sz w:val="28"/>
          <w:szCs w:val="28"/>
          <w:u w:val="single"/>
        </w:rPr>
        <w:t>月</w:t>
      </w:r>
      <w:r>
        <w:rPr>
          <w:rFonts w:hint="eastAsia" w:ascii="楷体" w:hAnsi="楷体" w:eastAsia="楷体" w:cs="Times New Roman"/>
          <w:sz w:val="28"/>
          <w:szCs w:val="28"/>
          <w:u w:val="single"/>
          <w:lang w:val="en-US" w:eastAsia="zh-CN"/>
        </w:rPr>
        <w:t>12</w:t>
      </w:r>
      <w:r>
        <w:rPr>
          <w:rFonts w:hint="eastAsia" w:ascii="楷体" w:hAnsi="楷体" w:eastAsia="楷体" w:cs="Times New Roman"/>
          <w:sz w:val="28"/>
          <w:szCs w:val="28"/>
          <w:u w:val="single"/>
        </w:rPr>
        <w:t>日</w:t>
      </w:r>
      <w:r>
        <w:rPr>
          <w:rFonts w:hint="eastAsia" w:ascii="楷体" w:hAnsi="楷体" w:eastAsia="楷体" w:cs="Times New Roman"/>
          <w:sz w:val="28"/>
          <w:szCs w:val="28"/>
          <w:u w:val="single"/>
          <w:lang w:val="en-US" w:eastAsia="zh-CN"/>
        </w:rPr>
        <w:t>14</w:t>
      </w:r>
      <w:r>
        <w:rPr>
          <w:rFonts w:hint="eastAsia" w:ascii="楷体" w:hAnsi="楷体" w:eastAsia="楷体" w:cs="Times New Roman"/>
          <w:sz w:val="28"/>
          <w:szCs w:val="28"/>
          <w:u w:val="single"/>
        </w:rPr>
        <w:t>时 00 分</w:t>
      </w:r>
    </w:p>
    <w:p>
      <w:pPr>
        <w:ind w:firstLine="560" w:firstLineChars="200"/>
        <w:rPr>
          <w:rFonts w:ascii="楷体" w:hAnsi="楷体" w:eastAsia="楷体" w:cs="Times New Roman"/>
          <w:sz w:val="28"/>
          <w:szCs w:val="28"/>
          <w:u w:val="single"/>
        </w:rPr>
      </w:pPr>
      <w:r>
        <w:rPr>
          <w:rFonts w:hint="eastAsia" w:ascii="楷体" w:hAnsi="楷体" w:eastAsia="楷体" w:cs="Times New Roman"/>
          <w:sz w:val="28"/>
          <w:szCs w:val="28"/>
        </w:rPr>
        <w:t>（二）开标地点：</w:t>
      </w:r>
      <w:r>
        <w:rPr>
          <w:rFonts w:hint="eastAsia" w:ascii="楷体" w:hAnsi="楷体" w:eastAsia="楷体" w:cs="Times New Roman"/>
          <w:sz w:val="28"/>
          <w:szCs w:val="28"/>
          <w:u w:val="single"/>
        </w:rPr>
        <w:t xml:space="preserve"> 南通市经济开发区苏润101大厦22楼                       </w:t>
      </w:r>
    </w:p>
    <w:p>
      <w:pPr>
        <w:rPr>
          <w:rFonts w:ascii="楷体" w:hAnsi="楷体" w:eastAsia="楷体" w:cs="Times New Roman"/>
          <w:b/>
          <w:bCs/>
          <w:sz w:val="28"/>
          <w:szCs w:val="28"/>
        </w:rPr>
      </w:pPr>
      <w:r>
        <w:rPr>
          <w:rFonts w:hint="eastAsia" w:ascii="楷体" w:hAnsi="楷体" w:eastAsia="楷体" w:cs="Times New Roman"/>
          <w:b/>
          <w:bCs/>
          <w:sz w:val="28"/>
          <w:szCs w:val="28"/>
        </w:rPr>
        <w:t>十、评标办法：</w:t>
      </w:r>
      <w:r>
        <w:rPr>
          <w:rFonts w:hint="eastAsia" w:ascii="宋体" w:hAnsi="宋体" w:eastAsia="楷体" w:cs="Times New Roman"/>
          <w:b/>
          <w:bCs/>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本次招标由南通苏润燃料有限公司招标小组进行评标。评标得分最高者推荐为中标候选人。</w:t>
      </w:r>
    </w:p>
    <w:p>
      <w:pPr>
        <w:rPr>
          <w:rFonts w:ascii="楷体" w:hAnsi="楷体" w:eastAsia="楷体" w:cs="Times New Roman"/>
          <w:b/>
          <w:bCs/>
          <w:sz w:val="28"/>
          <w:szCs w:val="28"/>
        </w:rPr>
      </w:pPr>
      <w:r>
        <w:rPr>
          <w:rFonts w:hint="eastAsia" w:ascii="楷体" w:hAnsi="楷体" w:eastAsia="楷体" w:cs="Times New Roman"/>
          <w:b/>
          <w:bCs/>
          <w:sz w:val="28"/>
          <w:szCs w:val="28"/>
        </w:rPr>
        <w:t>十一、中标通知：</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招标人定标后将会以中标通知书的形式通知中标方。</w:t>
      </w:r>
    </w:p>
    <w:p>
      <w:pPr>
        <w:rPr>
          <w:rFonts w:ascii="楷体" w:hAnsi="楷体" w:eastAsia="楷体" w:cs="Times New Roman"/>
          <w:b/>
          <w:bCs/>
          <w:sz w:val="28"/>
          <w:szCs w:val="28"/>
        </w:rPr>
      </w:pPr>
      <w:r>
        <w:rPr>
          <w:rFonts w:hint="eastAsia" w:ascii="楷体" w:hAnsi="楷体" w:eastAsia="楷体" w:cs="Times New Roman"/>
          <w:b/>
          <w:bCs/>
          <w:sz w:val="28"/>
          <w:szCs w:val="28"/>
        </w:rPr>
        <w:t>十二、合同签订</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（一）定标后，中标人获取中标通知书，中标通知书作为签订合同的依据之一。</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（二）中标人应在接到中标通知书3日内和招标人签订合同。</w:t>
      </w:r>
    </w:p>
    <w:p>
      <w:pPr>
        <w:ind w:firstLine="280" w:firstLineChars="100"/>
        <w:rPr>
          <w:rFonts w:ascii="楷体" w:hAnsi="楷体" w:eastAsia="楷体" w:cs="Times New Roman"/>
          <w:sz w:val="28"/>
          <w:szCs w:val="28"/>
        </w:rPr>
      </w:pPr>
      <w:r>
        <w:rPr>
          <w:rFonts w:hint="eastAsia" w:ascii="楷体" w:hAnsi="楷体" w:eastAsia="楷体" w:cs="Times New Roman"/>
          <w:sz w:val="28"/>
          <w:szCs w:val="28"/>
        </w:rPr>
        <w:t>（三）招标文件的内容、投标文件中除与招标文件有抵触的各项承诺外都视同合同的有效组成部分，与合同有同等效力。</w:t>
      </w:r>
    </w:p>
    <w:p>
      <w:pPr>
        <w:ind w:firstLine="560" w:firstLineChars="200"/>
        <w:rPr>
          <w:rFonts w:ascii="楷体" w:hAnsi="楷体" w:eastAsia="楷体" w:cs="Times New Roman"/>
          <w:sz w:val="28"/>
          <w:szCs w:val="28"/>
        </w:rPr>
      </w:pPr>
    </w:p>
    <w:p>
      <w:pPr>
        <w:ind w:firstLine="560" w:firstLineChars="200"/>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致:………………</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投标人法定代表人签名:</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ind w:firstLine="6160" w:firstLineChars="2200"/>
        <w:rPr>
          <w:rFonts w:ascii="楷体" w:hAnsi="楷体" w:eastAsia="楷体" w:cs="Times New Roman"/>
          <w:sz w:val="28"/>
          <w:szCs w:val="28"/>
        </w:rPr>
      </w:pP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jc w:val="center"/>
        <w:rPr>
          <w:rFonts w:ascii="楷体" w:hAnsi="楷体" w:eastAsia="楷体" w:cs="Times New Roman"/>
          <w:sz w:val="32"/>
          <w:szCs w:val="32"/>
        </w:rPr>
      </w:pPr>
      <w:r>
        <w:rPr>
          <w:rFonts w:hint="eastAsia" w:ascii="楷体" w:hAnsi="楷体" w:eastAsia="楷体" w:cs="Times New Roman"/>
          <w:sz w:val="32"/>
          <w:szCs w:val="32"/>
        </w:rPr>
        <w:t>授权委托书</w:t>
      </w:r>
    </w:p>
    <w:p>
      <w:pPr>
        <w:rPr>
          <w:rFonts w:ascii="楷体" w:hAnsi="楷体" w:eastAsia="楷体" w:cs="Times New Roman"/>
          <w:sz w:val="28"/>
          <w:szCs w:val="28"/>
        </w:rPr>
      </w:pPr>
      <w:r>
        <w:rPr>
          <w:rFonts w:hint="eastAsia" w:ascii="楷体" w:hAnsi="楷体" w:eastAsia="楷体" w:cs="Times New Roman"/>
          <w:sz w:val="28"/>
          <w:szCs w:val="28"/>
        </w:rPr>
        <w:t>………………公司：</w:t>
      </w:r>
      <w:r>
        <w:rPr>
          <w:rFonts w:hint="eastAsia" w:ascii="宋体" w:hAnsi="宋体" w:eastAsia="楷体" w:cs="Times New Roman"/>
          <w:sz w:val="28"/>
          <w:szCs w:val="28"/>
        </w:rPr>
        <w:t> </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本授权书委托书声明：我</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系</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公司的法定代表人,现授权</w:t>
      </w:r>
      <w:r>
        <w:rPr>
          <w:rFonts w:hint="eastAsia" w:ascii="楷体" w:hAnsi="楷体" w:eastAsia="楷体" w:cs="Times New Roman"/>
          <w:sz w:val="28"/>
          <w:szCs w:val="28"/>
          <w:u w:val="single"/>
        </w:rPr>
        <w:t xml:space="preserve">       </w:t>
      </w:r>
      <w:r>
        <w:rPr>
          <w:rFonts w:hint="eastAsia" w:ascii="楷体" w:hAnsi="楷体" w:eastAsia="楷体" w:cs="Times New Roman"/>
          <w:sz w:val="28"/>
          <w:szCs w:val="28"/>
        </w:rPr>
        <w:t>为我公司委托代理人,代表本公司参与贵公司本次</w:t>
      </w:r>
      <w:r>
        <w:rPr>
          <w:rFonts w:hint="eastAsia" w:ascii="楷体" w:hAnsi="楷体" w:eastAsia="楷体"/>
          <w:sz w:val="28"/>
          <w:szCs w:val="28"/>
        </w:rPr>
        <w:t>煤炭采购</w:t>
      </w:r>
      <w:r>
        <w:rPr>
          <w:rFonts w:hint="eastAsia" w:ascii="楷体" w:hAnsi="楷体" w:eastAsia="楷体" w:cs="Times New Roman"/>
          <w:sz w:val="28"/>
          <w:szCs w:val="28"/>
        </w:rPr>
        <w:t>项目的投标及合同的谈判、签约、执行和完成，并以本公司名义处理一切与之有关的事务。</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本公司对上述委托代理人的行为承担全部责任。</w:t>
      </w:r>
      <w:r>
        <w:rPr>
          <w:rFonts w:hint="eastAsia" w:ascii="宋体" w:hAnsi="宋体" w:eastAsia="楷体" w:cs="Times New Roman"/>
          <w:sz w:val="28"/>
          <w:szCs w:val="28"/>
        </w:rPr>
        <w:t> </w:t>
      </w:r>
    </w:p>
    <w:p>
      <w:pPr>
        <w:ind w:firstLine="560" w:firstLineChars="200"/>
        <w:rPr>
          <w:rFonts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（签名、盖章）</w:t>
      </w:r>
    </w:p>
    <w:p>
      <w:pPr>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xml:space="preserve">         </w:t>
      </w:r>
      <w:r>
        <w:rPr>
          <w:rFonts w:hint="eastAsia" w:ascii="楷体" w:hAnsi="楷体" w:eastAsia="楷体" w:cs="Times New Roman"/>
          <w:sz w:val="28"/>
          <w:szCs w:val="28"/>
        </w:rPr>
        <w:t xml:space="preserve">                 （签名、盖章）</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xml:space="preserve">       </w:t>
      </w:r>
      <w:r>
        <w:rPr>
          <w:rFonts w:hint="eastAsia" w:ascii="楷体" w:hAnsi="楷体" w:eastAsia="楷体" w:cs="Times New Roman"/>
          <w:sz w:val="28"/>
          <w:szCs w:val="28"/>
        </w:rPr>
        <w:t>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附件3：</w:t>
      </w:r>
    </w:p>
    <w:p>
      <w:pPr>
        <w:ind w:firstLine="2880" w:firstLineChars="900"/>
        <w:rPr>
          <w:rFonts w:ascii="楷体" w:hAnsi="楷体" w:eastAsia="楷体" w:cs="Times New Roman"/>
          <w:sz w:val="32"/>
          <w:szCs w:val="32"/>
        </w:rPr>
      </w:pPr>
      <w:r>
        <w:rPr>
          <w:rFonts w:hint="eastAsia" w:ascii="楷体" w:hAnsi="楷体" w:eastAsia="楷体" w:cs="Times New Roman"/>
          <w:sz w:val="32"/>
          <w:szCs w:val="32"/>
        </w:rPr>
        <w:t>煤炭投标书</w:t>
      </w:r>
    </w:p>
    <w:p>
      <w:pPr>
        <w:rPr>
          <w:rFonts w:ascii="楷体" w:hAnsi="楷体" w:eastAsia="楷体" w:cs="Times New Roman"/>
          <w:sz w:val="28"/>
          <w:szCs w:val="28"/>
        </w:rPr>
      </w:pPr>
      <w:r>
        <w:rPr>
          <w:rFonts w:hint="eastAsia" w:ascii="楷体" w:hAnsi="楷体" w:eastAsia="楷体" w:cs="Times New Roman"/>
          <w:sz w:val="28"/>
          <w:szCs w:val="28"/>
        </w:rPr>
        <w:t>…………公司：</w:t>
      </w:r>
    </w:p>
    <w:p>
      <w:pPr>
        <w:rPr>
          <w:rFonts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ind w:firstLine="560" w:firstLineChars="200"/>
        <w:rPr>
          <w:rFonts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ascii="楷体" w:hAnsi="楷体" w:eastAsia="楷体" w:cs="楷体"/>
                <w:sz w:val="24"/>
                <w:szCs w:val="24"/>
              </w:rPr>
            </w:pPr>
            <w:r>
              <w:rPr>
                <w:rFonts w:hint="eastAsia" w:ascii="楷体" w:hAnsi="楷体" w:eastAsia="楷体" w:cs="楷体"/>
                <w:sz w:val="24"/>
                <w:szCs w:val="24"/>
              </w:rPr>
              <w:t>收到基低位发热量（</w:t>
            </w:r>
            <w:r>
              <w:rPr>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ascii="楷体" w:hAnsi="楷体" w:eastAsia="楷体" w:cs="楷体"/>
                <w:sz w:val="24"/>
                <w:szCs w:val="24"/>
              </w:rPr>
            </w:pPr>
          </w:p>
        </w:tc>
      </w:tr>
    </w:tbl>
    <w:p>
      <w:pPr>
        <w:ind w:firstLine="560" w:firstLineChars="200"/>
        <w:rPr>
          <w:rFonts w:ascii="楷体" w:hAnsi="楷体" w:eastAsia="楷体" w:cs="楷体"/>
          <w:sz w:val="28"/>
          <w:szCs w:val="28"/>
        </w:rPr>
      </w:pPr>
    </w:p>
    <w:p>
      <w:pPr>
        <w:ind w:firstLine="560" w:firstLineChars="200"/>
        <w:rPr>
          <w:rFonts w:ascii="楷体" w:hAnsi="楷体" w:eastAsia="楷体" w:cs="Times New Roman"/>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rPr>
          <w:rFonts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ind w:firstLine="560" w:firstLineChars="200"/>
        <w:rPr>
          <w:rFonts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日期：     年     月    日</w:t>
      </w: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ascii="楷体" w:hAnsi="楷体" w:eastAsia="楷体" w:cs="Times New Roman"/>
          <w:sz w:val="28"/>
          <w:szCs w:val="28"/>
        </w:rPr>
      </w:pPr>
    </w:p>
    <w:p>
      <w:pPr>
        <w:rPr>
          <w:rFonts w:hint="eastAsia"/>
          <w:szCs w:val="21"/>
        </w:rPr>
      </w:pPr>
      <w:r>
        <w:rPr>
          <w:rFonts w:hint="eastAsia" w:ascii="楷体" w:hAnsi="楷体" w:eastAsia="楷体" w:cs="Times New Roman"/>
          <w:sz w:val="28"/>
          <w:szCs w:val="28"/>
        </w:rPr>
        <w:t>附件4：</w:t>
      </w:r>
      <w:r>
        <w:rPr>
          <w:rFonts w:hint="eastAsia"/>
          <w:szCs w:val="21"/>
        </w:rPr>
        <w:t xml:space="preserve"> </w:t>
      </w:r>
    </w:p>
    <w:p>
      <w:pPr>
        <w:rPr>
          <w:rFonts w:hint="eastAsia" w:ascii="宋体" w:hAnsi="宋体" w:cs="宋体"/>
          <w:color w:val="000000"/>
          <w:kern w:val="0"/>
          <w:szCs w:val="21"/>
        </w:rPr>
      </w:pPr>
    </w:p>
    <w:p>
      <w:pPr>
        <w:adjustRightInd w:val="0"/>
        <w:spacing w:line="360" w:lineRule="auto"/>
        <w:jc w:val="center"/>
        <w:textAlignment w:val="baseline"/>
        <w:rPr>
          <w:rFonts w:hint="eastAsia" w:ascii="宋体" w:hAnsi="宋体" w:cs="宋体"/>
          <w:color w:val="000000"/>
          <w:kern w:val="0"/>
          <w:szCs w:val="21"/>
        </w:rPr>
      </w:pPr>
      <w:r>
        <w:rPr>
          <w:rFonts w:hint="eastAsia" w:ascii="宋体" w:hAnsi="宋体" w:cs="宋体"/>
          <w:color w:val="000000"/>
          <w:kern w:val="0"/>
          <w:szCs w:val="21"/>
        </w:rPr>
        <w:t>商务合同专用条款差异表</w:t>
      </w:r>
    </w:p>
    <w:p>
      <w:pPr>
        <w:adjustRightInd w:val="0"/>
        <w:spacing w:line="360" w:lineRule="auto"/>
        <w:textAlignment w:val="baseline"/>
        <w:rPr>
          <w:rFonts w:hint="eastAsia" w:ascii="宋体" w:hAnsi="宋体" w:cs="宋体"/>
          <w:color w:val="000000"/>
          <w:kern w:val="0"/>
          <w:szCs w:val="21"/>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noWrap w:val="0"/>
            <w:vAlign w:val="top"/>
          </w:tcPr>
          <w:p>
            <w:pPr>
              <w:adjustRightInd w:val="0"/>
              <w:spacing w:line="360" w:lineRule="auto"/>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序号</w:t>
            </w:r>
          </w:p>
        </w:tc>
        <w:tc>
          <w:tcPr>
            <w:tcW w:w="1076" w:type="dxa"/>
            <w:noWrap w:val="0"/>
            <w:vAlign w:val="top"/>
          </w:tcPr>
          <w:p>
            <w:pPr>
              <w:adjustRightInd w:val="0"/>
              <w:spacing w:line="360" w:lineRule="auto"/>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条款号</w:t>
            </w:r>
          </w:p>
        </w:tc>
        <w:tc>
          <w:tcPr>
            <w:tcW w:w="2884" w:type="dxa"/>
            <w:noWrap w:val="0"/>
            <w:vAlign w:val="top"/>
          </w:tcPr>
          <w:p>
            <w:pPr>
              <w:adjustRightInd w:val="0"/>
              <w:spacing w:line="360" w:lineRule="auto"/>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招标文件的商务条款</w:t>
            </w:r>
          </w:p>
        </w:tc>
        <w:tc>
          <w:tcPr>
            <w:tcW w:w="2451" w:type="dxa"/>
            <w:noWrap w:val="0"/>
            <w:vAlign w:val="top"/>
          </w:tcPr>
          <w:p>
            <w:pPr>
              <w:adjustRightInd w:val="0"/>
              <w:spacing w:line="360" w:lineRule="auto"/>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投标文件修改条款</w:t>
            </w:r>
          </w:p>
        </w:tc>
        <w:tc>
          <w:tcPr>
            <w:tcW w:w="2404" w:type="dxa"/>
            <w:noWrap w:val="0"/>
            <w:vAlign w:val="top"/>
          </w:tcPr>
          <w:p>
            <w:pPr>
              <w:adjustRightInd w:val="0"/>
              <w:spacing w:line="360" w:lineRule="auto"/>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cs="宋体"/>
                <w:color w:val="000000"/>
                <w:kern w:val="0"/>
                <w:szCs w:val="21"/>
              </w:rPr>
            </w:pPr>
          </w:p>
        </w:tc>
        <w:tc>
          <w:tcPr>
            <w:tcW w:w="1076" w:type="dxa"/>
            <w:noWrap w:val="0"/>
            <w:vAlign w:val="top"/>
          </w:tcPr>
          <w:p>
            <w:pPr>
              <w:adjustRightInd w:val="0"/>
              <w:spacing w:line="360" w:lineRule="auto"/>
              <w:textAlignment w:val="baseline"/>
              <w:rPr>
                <w:rFonts w:hint="eastAsia" w:ascii="宋体" w:hAnsi="宋体" w:cs="宋体"/>
                <w:color w:val="000000"/>
                <w:kern w:val="0"/>
                <w:szCs w:val="21"/>
              </w:rPr>
            </w:pPr>
          </w:p>
        </w:tc>
        <w:tc>
          <w:tcPr>
            <w:tcW w:w="2884" w:type="dxa"/>
            <w:noWrap w:val="0"/>
            <w:vAlign w:val="top"/>
          </w:tcPr>
          <w:p>
            <w:pPr>
              <w:adjustRightInd w:val="0"/>
              <w:spacing w:line="360" w:lineRule="auto"/>
              <w:textAlignment w:val="baseline"/>
              <w:rPr>
                <w:rFonts w:hint="eastAsia" w:ascii="宋体" w:hAnsi="宋体" w:cs="宋体"/>
                <w:color w:val="000000"/>
                <w:kern w:val="0"/>
                <w:szCs w:val="21"/>
              </w:rPr>
            </w:pPr>
          </w:p>
        </w:tc>
        <w:tc>
          <w:tcPr>
            <w:tcW w:w="2451" w:type="dxa"/>
            <w:noWrap w:val="0"/>
            <w:vAlign w:val="top"/>
          </w:tcPr>
          <w:p>
            <w:pPr>
              <w:adjustRightInd w:val="0"/>
              <w:spacing w:line="360" w:lineRule="auto"/>
              <w:textAlignment w:val="baseline"/>
              <w:rPr>
                <w:rFonts w:hint="eastAsia" w:ascii="宋体" w:hAnsi="宋体" w:cs="宋体"/>
                <w:color w:val="000000"/>
                <w:kern w:val="0"/>
                <w:szCs w:val="21"/>
              </w:rPr>
            </w:pPr>
          </w:p>
        </w:tc>
        <w:tc>
          <w:tcPr>
            <w:tcW w:w="2404" w:type="dxa"/>
            <w:noWrap w:val="0"/>
            <w:vAlign w:val="top"/>
          </w:tcPr>
          <w:p>
            <w:pPr>
              <w:adjustRightInd w:val="0"/>
              <w:spacing w:line="360" w:lineRule="auto"/>
              <w:textAlignment w:val="baseline"/>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cs="宋体"/>
                <w:color w:val="000000"/>
                <w:kern w:val="0"/>
                <w:szCs w:val="21"/>
              </w:rPr>
            </w:pPr>
          </w:p>
        </w:tc>
        <w:tc>
          <w:tcPr>
            <w:tcW w:w="1076" w:type="dxa"/>
            <w:noWrap w:val="0"/>
            <w:vAlign w:val="top"/>
          </w:tcPr>
          <w:p>
            <w:pPr>
              <w:adjustRightInd w:val="0"/>
              <w:spacing w:line="360" w:lineRule="auto"/>
              <w:textAlignment w:val="baseline"/>
              <w:rPr>
                <w:rFonts w:hint="eastAsia" w:ascii="宋体" w:hAnsi="宋体" w:cs="宋体"/>
                <w:color w:val="000000"/>
                <w:kern w:val="0"/>
                <w:szCs w:val="21"/>
              </w:rPr>
            </w:pPr>
          </w:p>
        </w:tc>
        <w:tc>
          <w:tcPr>
            <w:tcW w:w="2884" w:type="dxa"/>
            <w:noWrap w:val="0"/>
            <w:vAlign w:val="top"/>
          </w:tcPr>
          <w:p>
            <w:pPr>
              <w:adjustRightInd w:val="0"/>
              <w:spacing w:line="360" w:lineRule="auto"/>
              <w:textAlignment w:val="baseline"/>
              <w:rPr>
                <w:rFonts w:hint="eastAsia" w:ascii="宋体" w:hAnsi="宋体" w:cs="宋体"/>
                <w:color w:val="000000"/>
                <w:kern w:val="0"/>
                <w:szCs w:val="21"/>
              </w:rPr>
            </w:pPr>
          </w:p>
        </w:tc>
        <w:tc>
          <w:tcPr>
            <w:tcW w:w="2451" w:type="dxa"/>
            <w:noWrap w:val="0"/>
            <w:vAlign w:val="top"/>
          </w:tcPr>
          <w:p>
            <w:pPr>
              <w:adjustRightInd w:val="0"/>
              <w:spacing w:line="360" w:lineRule="auto"/>
              <w:textAlignment w:val="baseline"/>
              <w:rPr>
                <w:rFonts w:hint="eastAsia" w:ascii="宋体" w:hAnsi="宋体" w:cs="宋体"/>
                <w:color w:val="000000"/>
                <w:kern w:val="0"/>
                <w:szCs w:val="21"/>
              </w:rPr>
            </w:pPr>
          </w:p>
        </w:tc>
        <w:tc>
          <w:tcPr>
            <w:tcW w:w="2404" w:type="dxa"/>
            <w:noWrap w:val="0"/>
            <w:vAlign w:val="top"/>
          </w:tcPr>
          <w:p>
            <w:pPr>
              <w:adjustRightInd w:val="0"/>
              <w:spacing w:line="360" w:lineRule="auto"/>
              <w:textAlignment w:val="baseline"/>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cs="宋体"/>
                <w:color w:val="000000"/>
                <w:kern w:val="0"/>
                <w:szCs w:val="21"/>
              </w:rPr>
            </w:pPr>
          </w:p>
        </w:tc>
        <w:tc>
          <w:tcPr>
            <w:tcW w:w="1076" w:type="dxa"/>
            <w:noWrap w:val="0"/>
            <w:vAlign w:val="top"/>
          </w:tcPr>
          <w:p>
            <w:pPr>
              <w:adjustRightInd w:val="0"/>
              <w:spacing w:line="360" w:lineRule="auto"/>
              <w:textAlignment w:val="baseline"/>
              <w:rPr>
                <w:rFonts w:hint="eastAsia" w:ascii="宋体" w:hAnsi="宋体" w:cs="宋体"/>
                <w:color w:val="000000"/>
                <w:kern w:val="0"/>
                <w:szCs w:val="21"/>
              </w:rPr>
            </w:pPr>
          </w:p>
        </w:tc>
        <w:tc>
          <w:tcPr>
            <w:tcW w:w="2884" w:type="dxa"/>
            <w:noWrap w:val="0"/>
            <w:vAlign w:val="top"/>
          </w:tcPr>
          <w:p>
            <w:pPr>
              <w:adjustRightInd w:val="0"/>
              <w:spacing w:line="360" w:lineRule="auto"/>
              <w:textAlignment w:val="baseline"/>
              <w:rPr>
                <w:rFonts w:hint="eastAsia" w:ascii="宋体" w:hAnsi="宋体" w:cs="宋体"/>
                <w:color w:val="000000"/>
                <w:kern w:val="0"/>
                <w:szCs w:val="21"/>
              </w:rPr>
            </w:pPr>
          </w:p>
        </w:tc>
        <w:tc>
          <w:tcPr>
            <w:tcW w:w="2451" w:type="dxa"/>
            <w:noWrap w:val="0"/>
            <w:vAlign w:val="top"/>
          </w:tcPr>
          <w:p>
            <w:pPr>
              <w:adjustRightInd w:val="0"/>
              <w:spacing w:line="360" w:lineRule="auto"/>
              <w:textAlignment w:val="baseline"/>
              <w:rPr>
                <w:rFonts w:hint="eastAsia" w:ascii="宋体" w:hAnsi="宋体" w:cs="宋体"/>
                <w:color w:val="000000"/>
                <w:kern w:val="0"/>
                <w:szCs w:val="21"/>
              </w:rPr>
            </w:pPr>
          </w:p>
        </w:tc>
        <w:tc>
          <w:tcPr>
            <w:tcW w:w="2404" w:type="dxa"/>
            <w:noWrap w:val="0"/>
            <w:vAlign w:val="top"/>
          </w:tcPr>
          <w:p>
            <w:pPr>
              <w:adjustRightInd w:val="0"/>
              <w:spacing w:line="360" w:lineRule="auto"/>
              <w:textAlignment w:val="baseline"/>
              <w:rPr>
                <w:rFonts w:hint="eastAsia"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宋体" w:hAnsi="宋体" w:cs="宋体"/>
                <w:color w:val="000000"/>
                <w:kern w:val="0"/>
                <w:szCs w:val="21"/>
              </w:rPr>
            </w:pPr>
          </w:p>
        </w:tc>
        <w:tc>
          <w:tcPr>
            <w:tcW w:w="1076" w:type="dxa"/>
            <w:noWrap w:val="0"/>
            <w:vAlign w:val="top"/>
          </w:tcPr>
          <w:p>
            <w:pPr>
              <w:adjustRightInd w:val="0"/>
              <w:spacing w:line="360" w:lineRule="auto"/>
              <w:textAlignment w:val="baseline"/>
              <w:rPr>
                <w:rFonts w:hint="eastAsia" w:ascii="宋体" w:hAnsi="宋体" w:cs="宋体"/>
                <w:color w:val="000000"/>
                <w:kern w:val="0"/>
                <w:szCs w:val="21"/>
              </w:rPr>
            </w:pPr>
          </w:p>
        </w:tc>
        <w:tc>
          <w:tcPr>
            <w:tcW w:w="2884" w:type="dxa"/>
            <w:noWrap w:val="0"/>
            <w:vAlign w:val="top"/>
          </w:tcPr>
          <w:p>
            <w:pPr>
              <w:adjustRightInd w:val="0"/>
              <w:spacing w:line="360" w:lineRule="auto"/>
              <w:textAlignment w:val="baseline"/>
              <w:rPr>
                <w:rFonts w:hint="eastAsia" w:ascii="宋体" w:hAnsi="宋体" w:cs="宋体"/>
                <w:color w:val="000000"/>
                <w:kern w:val="0"/>
                <w:szCs w:val="21"/>
              </w:rPr>
            </w:pPr>
          </w:p>
        </w:tc>
        <w:tc>
          <w:tcPr>
            <w:tcW w:w="2451" w:type="dxa"/>
            <w:noWrap w:val="0"/>
            <w:vAlign w:val="top"/>
          </w:tcPr>
          <w:p>
            <w:pPr>
              <w:adjustRightInd w:val="0"/>
              <w:spacing w:line="360" w:lineRule="auto"/>
              <w:textAlignment w:val="baseline"/>
              <w:rPr>
                <w:rFonts w:hint="eastAsia" w:ascii="宋体" w:hAnsi="宋体" w:cs="宋体"/>
                <w:color w:val="000000"/>
                <w:kern w:val="0"/>
                <w:szCs w:val="21"/>
              </w:rPr>
            </w:pPr>
          </w:p>
        </w:tc>
        <w:tc>
          <w:tcPr>
            <w:tcW w:w="2404" w:type="dxa"/>
            <w:noWrap w:val="0"/>
            <w:vAlign w:val="top"/>
          </w:tcPr>
          <w:p>
            <w:pPr>
              <w:adjustRightInd w:val="0"/>
              <w:spacing w:line="360" w:lineRule="auto"/>
              <w:textAlignment w:val="baseline"/>
              <w:rPr>
                <w:rFonts w:hint="eastAsia" w:ascii="宋体" w:hAnsi="宋体" w:cs="宋体"/>
                <w:color w:val="000000"/>
                <w:kern w:val="0"/>
                <w:szCs w:val="21"/>
              </w:rPr>
            </w:pPr>
          </w:p>
        </w:tc>
      </w:tr>
    </w:tbl>
    <w:p>
      <w:pPr>
        <w:spacing w:line="360" w:lineRule="auto"/>
        <w:rPr>
          <w:rFonts w:hint="eastAsia" w:ascii="宋体" w:hAnsi="宋体" w:cs="宋体"/>
          <w:szCs w:val="21"/>
        </w:rPr>
      </w:pPr>
    </w:p>
    <w:p>
      <w:pPr>
        <w:spacing w:line="360" w:lineRule="auto"/>
        <w:rPr>
          <w:rFonts w:hint="eastAsia" w:ascii="宋体" w:hAnsi="宋体" w:cs="宋体"/>
          <w:szCs w:val="21"/>
        </w:rPr>
      </w:pPr>
      <w:r>
        <w:rPr>
          <w:rFonts w:hint="eastAsia" w:ascii="宋体" w:hAnsi="宋体" w:cs="宋体"/>
          <w:szCs w:val="21"/>
        </w:rPr>
        <w:t>投标人（盖章）：</w:t>
      </w:r>
    </w:p>
    <w:p>
      <w:pPr>
        <w:spacing w:line="360" w:lineRule="auto"/>
        <w:rPr>
          <w:rFonts w:hint="eastAsia" w:ascii="宋体" w:hAnsi="宋体" w:cs="宋体"/>
          <w:szCs w:val="21"/>
        </w:rPr>
      </w:pPr>
    </w:p>
    <w:p>
      <w:pPr>
        <w:spacing w:line="360" w:lineRule="auto"/>
        <w:rPr>
          <w:rFonts w:hint="eastAsia" w:ascii="宋体" w:hAnsi="宋体" w:cs="宋体"/>
          <w:szCs w:val="21"/>
        </w:rPr>
      </w:pPr>
      <w:r>
        <w:rPr>
          <w:rFonts w:hint="eastAsia" w:ascii="宋体" w:hAnsi="宋体" w:cs="宋体"/>
          <w:szCs w:val="21"/>
        </w:rPr>
        <w:t>投标人代表（签字或盖章）：</w:t>
      </w:r>
    </w:p>
    <w:p>
      <w:pPr>
        <w:spacing w:line="360" w:lineRule="auto"/>
        <w:rPr>
          <w:rFonts w:hint="eastAsia" w:ascii="宋体" w:hAnsi="宋体" w:cs="宋体"/>
          <w:szCs w:val="21"/>
        </w:rPr>
      </w:pPr>
    </w:p>
    <w:p>
      <w:pPr>
        <w:spacing w:line="360" w:lineRule="auto"/>
        <w:ind w:firstLine="4410" w:firstLineChars="2100"/>
        <w:rPr>
          <w:rFonts w:hint="eastAsia" w:ascii="宋体" w:hAnsi="宋体" w:cs="宋体"/>
          <w:szCs w:val="21"/>
        </w:rPr>
      </w:pPr>
      <w:r>
        <w:rPr>
          <w:rFonts w:hint="eastAsia" w:ascii="宋体" w:hAnsi="宋体" w:cs="宋体"/>
          <w:szCs w:val="21"/>
        </w:rPr>
        <w:t>年      月      日</w:t>
      </w:r>
    </w:p>
    <w:p>
      <w:pPr>
        <w:rPr>
          <w:rFonts w:hint="eastAsia" w:hAnsi="宋体" w:cs="宋体"/>
          <w:color w:val="000000"/>
          <w:sz w:val="21"/>
          <w:szCs w:val="21"/>
        </w:rPr>
      </w:pPr>
    </w:p>
    <w:p>
      <w:pPr>
        <w:pStyle w:val="2"/>
        <w:spacing w:line="360" w:lineRule="auto"/>
        <w:ind w:firstLine="0"/>
        <w:jc w:val="center"/>
        <w:rPr>
          <w:rFonts w:hint="eastAsia" w:hAnsi="宋体" w:cs="宋体"/>
          <w:color w:val="000000"/>
          <w:sz w:val="21"/>
          <w:szCs w:val="21"/>
        </w:rPr>
      </w:pPr>
      <w:r>
        <w:rPr>
          <w:rFonts w:hint="eastAsia" w:hAnsi="宋体" w:cs="宋体"/>
          <w:color w:val="000000"/>
          <w:sz w:val="21"/>
          <w:szCs w:val="21"/>
        </w:rPr>
        <w:t>技术条款差异表</w:t>
      </w:r>
    </w:p>
    <w:p>
      <w:pPr>
        <w:pStyle w:val="2"/>
        <w:spacing w:line="360" w:lineRule="auto"/>
        <w:ind w:firstLine="0"/>
        <w:rPr>
          <w:rFonts w:hint="eastAsia" w:hAnsi="宋体" w:cs="宋体"/>
          <w:color w:val="000000"/>
          <w:sz w:val="21"/>
          <w:szCs w:val="21"/>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hAnsi="宋体" w:cs="宋体"/>
                <w:b/>
                <w:color w:val="000000"/>
                <w:sz w:val="21"/>
                <w:szCs w:val="21"/>
              </w:rPr>
            </w:pPr>
            <w:r>
              <w:rPr>
                <w:rFonts w:hint="eastAsia" w:hAnsi="宋体" w:cs="宋体"/>
                <w:b/>
                <w:color w:val="000000"/>
                <w:sz w:val="21"/>
                <w:szCs w:val="21"/>
              </w:rPr>
              <w:t>序号</w:t>
            </w:r>
          </w:p>
        </w:tc>
        <w:tc>
          <w:tcPr>
            <w:tcW w:w="1076" w:type="dxa"/>
            <w:noWrap w:val="0"/>
            <w:vAlign w:val="top"/>
          </w:tcPr>
          <w:p>
            <w:pPr>
              <w:pStyle w:val="2"/>
              <w:spacing w:line="360" w:lineRule="auto"/>
              <w:ind w:firstLine="0"/>
              <w:jc w:val="center"/>
              <w:rPr>
                <w:rFonts w:hint="eastAsia" w:hAnsi="宋体" w:cs="宋体"/>
                <w:b/>
                <w:color w:val="000000"/>
                <w:sz w:val="21"/>
                <w:szCs w:val="21"/>
              </w:rPr>
            </w:pPr>
            <w:r>
              <w:rPr>
                <w:rFonts w:hint="eastAsia" w:hAnsi="宋体" w:cs="宋体"/>
                <w:b/>
                <w:color w:val="000000"/>
                <w:sz w:val="21"/>
                <w:szCs w:val="21"/>
              </w:rPr>
              <w:t>条款号</w:t>
            </w:r>
          </w:p>
        </w:tc>
        <w:tc>
          <w:tcPr>
            <w:tcW w:w="2884" w:type="dxa"/>
            <w:noWrap w:val="0"/>
            <w:vAlign w:val="top"/>
          </w:tcPr>
          <w:p>
            <w:pPr>
              <w:pStyle w:val="2"/>
              <w:spacing w:line="360" w:lineRule="auto"/>
              <w:ind w:firstLine="0"/>
              <w:jc w:val="center"/>
              <w:rPr>
                <w:rFonts w:hint="eastAsia" w:hAnsi="宋体" w:cs="宋体"/>
                <w:b/>
                <w:color w:val="000000"/>
                <w:sz w:val="21"/>
                <w:szCs w:val="21"/>
              </w:rPr>
            </w:pPr>
            <w:r>
              <w:rPr>
                <w:rFonts w:hint="eastAsia" w:hAnsi="宋体" w:cs="宋体"/>
                <w:b/>
                <w:color w:val="000000"/>
                <w:sz w:val="21"/>
                <w:szCs w:val="21"/>
              </w:rPr>
              <w:t>招标文件的技术条款</w:t>
            </w:r>
          </w:p>
        </w:tc>
        <w:tc>
          <w:tcPr>
            <w:tcW w:w="2997" w:type="dxa"/>
            <w:noWrap w:val="0"/>
            <w:vAlign w:val="top"/>
          </w:tcPr>
          <w:p>
            <w:pPr>
              <w:pStyle w:val="2"/>
              <w:spacing w:line="360" w:lineRule="auto"/>
              <w:ind w:firstLine="0"/>
              <w:jc w:val="center"/>
              <w:rPr>
                <w:rFonts w:hint="eastAsia" w:hAnsi="宋体" w:cs="宋体"/>
                <w:b/>
                <w:color w:val="000000"/>
                <w:sz w:val="21"/>
                <w:szCs w:val="21"/>
              </w:rPr>
            </w:pPr>
            <w:r>
              <w:rPr>
                <w:rFonts w:hint="eastAsia" w:hAnsi="宋体" w:cs="宋体"/>
                <w:b/>
                <w:color w:val="000000"/>
                <w:sz w:val="21"/>
                <w:szCs w:val="21"/>
              </w:rPr>
              <w:t>投标文件修改条款</w:t>
            </w:r>
          </w:p>
        </w:tc>
        <w:tc>
          <w:tcPr>
            <w:tcW w:w="1858" w:type="dxa"/>
            <w:noWrap w:val="0"/>
            <w:vAlign w:val="top"/>
          </w:tcPr>
          <w:p>
            <w:pPr>
              <w:pStyle w:val="2"/>
              <w:spacing w:line="360" w:lineRule="auto"/>
              <w:ind w:firstLine="0"/>
              <w:jc w:val="center"/>
              <w:rPr>
                <w:rFonts w:hint="eastAsia" w:hAnsi="宋体" w:cs="宋体"/>
                <w:b/>
                <w:color w:val="000000"/>
                <w:sz w:val="21"/>
                <w:szCs w:val="21"/>
              </w:rPr>
            </w:pPr>
            <w:r>
              <w:rPr>
                <w:rFonts w:hint="eastAsia" w:hAnsi="宋体" w:cs="宋体"/>
                <w:b/>
                <w:color w:val="000000"/>
                <w:sz w:val="21"/>
                <w:szCs w:val="21"/>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hAnsi="宋体" w:cs="宋体"/>
                <w:color w:val="000000"/>
                <w:sz w:val="21"/>
                <w:szCs w:val="21"/>
              </w:rPr>
            </w:pPr>
          </w:p>
        </w:tc>
        <w:tc>
          <w:tcPr>
            <w:tcW w:w="1076" w:type="dxa"/>
            <w:noWrap w:val="0"/>
            <w:vAlign w:val="top"/>
          </w:tcPr>
          <w:p>
            <w:pPr>
              <w:pStyle w:val="2"/>
              <w:spacing w:line="360" w:lineRule="auto"/>
              <w:ind w:firstLine="0"/>
              <w:rPr>
                <w:rFonts w:hint="eastAsia" w:hAnsi="宋体" w:cs="宋体"/>
                <w:color w:val="000000"/>
                <w:sz w:val="21"/>
                <w:szCs w:val="21"/>
              </w:rPr>
            </w:pPr>
          </w:p>
        </w:tc>
        <w:tc>
          <w:tcPr>
            <w:tcW w:w="2884" w:type="dxa"/>
            <w:noWrap w:val="0"/>
            <w:vAlign w:val="top"/>
          </w:tcPr>
          <w:p>
            <w:pPr>
              <w:pStyle w:val="2"/>
              <w:spacing w:line="360" w:lineRule="auto"/>
              <w:ind w:firstLine="0"/>
              <w:rPr>
                <w:rFonts w:hint="eastAsia" w:hAnsi="宋体" w:cs="宋体"/>
                <w:color w:val="000000"/>
                <w:sz w:val="21"/>
                <w:szCs w:val="21"/>
              </w:rPr>
            </w:pPr>
          </w:p>
        </w:tc>
        <w:tc>
          <w:tcPr>
            <w:tcW w:w="2997" w:type="dxa"/>
            <w:noWrap w:val="0"/>
            <w:vAlign w:val="top"/>
          </w:tcPr>
          <w:p>
            <w:pPr>
              <w:pStyle w:val="2"/>
              <w:spacing w:line="360" w:lineRule="auto"/>
              <w:ind w:firstLine="0"/>
              <w:rPr>
                <w:rFonts w:hint="eastAsia" w:hAnsi="宋体" w:cs="宋体"/>
                <w:color w:val="000000"/>
                <w:sz w:val="21"/>
                <w:szCs w:val="21"/>
              </w:rPr>
            </w:pPr>
          </w:p>
        </w:tc>
        <w:tc>
          <w:tcPr>
            <w:tcW w:w="1858" w:type="dxa"/>
            <w:noWrap w:val="0"/>
            <w:vAlign w:val="top"/>
          </w:tcPr>
          <w:p>
            <w:pPr>
              <w:pStyle w:val="2"/>
              <w:spacing w:line="360" w:lineRule="auto"/>
              <w:ind w:firstLine="0"/>
              <w:rPr>
                <w:rFonts w:hint="eastAsia"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hAnsi="宋体" w:cs="宋体"/>
                <w:color w:val="000000"/>
                <w:sz w:val="21"/>
                <w:szCs w:val="21"/>
              </w:rPr>
            </w:pPr>
          </w:p>
        </w:tc>
        <w:tc>
          <w:tcPr>
            <w:tcW w:w="1076" w:type="dxa"/>
            <w:noWrap w:val="0"/>
            <w:vAlign w:val="top"/>
          </w:tcPr>
          <w:p>
            <w:pPr>
              <w:pStyle w:val="2"/>
              <w:spacing w:line="360" w:lineRule="auto"/>
              <w:ind w:firstLine="0"/>
              <w:rPr>
                <w:rFonts w:hint="eastAsia" w:hAnsi="宋体" w:cs="宋体"/>
                <w:color w:val="000000"/>
                <w:sz w:val="21"/>
                <w:szCs w:val="21"/>
              </w:rPr>
            </w:pPr>
          </w:p>
        </w:tc>
        <w:tc>
          <w:tcPr>
            <w:tcW w:w="2884" w:type="dxa"/>
            <w:noWrap w:val="0"/>
            <w:vAlign w:val="top"/>
          </w:tcPr>
          <w:p>
            <w:pPr>
              <w:pStyle w:val="2"/>
              <w:spacing w:line="360" w:lineRule="auto"/>
              <w:ind w:firstLine="0"/>
              <w:rPr>
                <w:rFonts w:hint="eastAsia" w:hAnsi="宋体" w:cs="宋体"/>
                <w:color w:val="000000"/>
                <w:sz w:val="21"/>
                <w:szCs w:val="21"/>
              </w:rPr>
            </w:pPr>
          </w:p>
        </w:tc>
        <w:tc>
          <w:tcPr>
            <w:tcW w:w="2997" w:type="dxa"/>
            <w:noWrap w:val="0"/>
            <w:vAlign w:val="top"/>
          </w:tcPr>
          <w:p>
            <w:pPr>
              <w:pStyle w:val="2"/>
              <w:spacing w:line="360" w:lineRule="auto"/>
              <w:ind w:firstLine="0"/>
              <w:rPr>
                <w:rFonts w:hint="eastAsia" w:hAnsi="宋体" w:cs="宋体"/>
                <w:color w:val="000000"/>
                <w:sz w:val="21"/>
                <w:szCs w:val="21"/>
              </w:rPr>
            </w:pPr>
          </w:p>
        </w:tc>
        <w:tc>
          <w:tcPr>
            <w:tcW w:w="1858" w:type="dxa"/>
            <w:noWrap w:val="0"/>
            <w:vAlign w:val="top"/>
          </w:tcPr>
          <w:p>
            <w:pPr>
              <w:pStyle w:val="2"/>
              <w:spacing w:line="360" w:lineRule="auto"/>
              <w:ind w:firstLine="0"/>
              <w:rPr>
                <w:rFonts w:hint="eastAsia" w:hAnsi="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hAnsi="宋体" w:cs="宋体"/>
                <w:color w:val="000000"/>
                <w:sz w:val="21"/>
                <w:szCs w:val="21"/>
              </w:rPr>
            </w:pPr>
          </w:p>
        </w:tc>
        <w:tc>
          <w:tcPr>
            <w:tcW w:w="1076" w:type="dxa"/>
            <w:noWrap w:val="0"/>
            <w:vAlign w:val="top"/>
          </w:tcPr>
          <w:p>
            <w:pPr>
              <w:pStyle w:val="2"/>
              <w:spacing w:line="360" w:lineRule="auto"/>
              <w:ind w:firstLine="0"/>
              <w:rPr>
                <w:rFonts w:hint="eastAsia" w:hAnsi="宋体" w:cs="宋体"/>
                <w:color w:val="000000"/>
                <w:sz w:val="21"/>
                <w:szCs w:val="21"/>
              </w:rPr>
            </w:pPr>
          </w:p>
        </w:tc>
        <w:tc>
          <w:tcPr>
            <w:tcW w:w="2884" w:type="dxa"/>
            <w:noWrap w:val="0"/>
            <w:vAlign w:val="top"/>
          </w:tcPr>
          <w:p>
            <w:pPr>
              <w:pStyle w:val="2"/>
              <w:spacing w:line="360" w:lineRule="auto"/>
              <w:ind w:firstLine="0"/>
              <w:rPr>
                <w:rFonts w:hint="eastAsia" w:hAnsi="宋体" w:cs="宋体"/>
                <w:color w:val="000000"/>
                <w:sz w:val="21"/>
                <w:szCs w:val="21"/>
              </w:rPr>
            </w:pPr>
          </w:p>
        </w:tc>
        <w:tc>
          <w:tcPr>
            <w:tcW w:w="2997" w:type="dxa"/>
            <w:noWrap w:val="0"/>
            <w:vAlign w:val="top"/>
          </w:tcPr>
          <w:p>
            <w:pPr>
              <w:pStyle w:val="2"/>
              <w:spacing w:line="360" w:lineRule="auto"/>
              <w:ind w:firstLine="0"/>
              <w:rPr>
                <w:rFonts w:hint="eastAsia" w:hAnsi="宋体" w:cs="宋体"/>
                <w:color w:val="000000"/>
                <w:sz w:val="21"/>
                <w:szCs w:val="21"/>
              </w:rPr>
            </w:pPr>
          </w:p>
        </w:tc>
        <w:tc>
          <w:tcPr>
            <w:tcW w:w="1858" w:type="dxa"/>
            <w:noWrap w:val="0"/>
            <w:vAlign w:val="top"/>
          </w:tcPr>
          <w:p>
            <w:pPr>
              <w:pStyle w:val="2"/>
              <w:spacing w:line="360" w:lineRule="auto"/>
              <w:ind w:firstLine="0"/>
              <w:rPr>
                <w:rFonts w:hint="eastAsia" w:hAnsi="宋体" w:cs="宋体"/>
                <w:color w:val="000000"/>
                <w:sz w:val="21"/>
                <w:szCs w:val="21"/>
              </w:rPr>
            </w:pPr>
          </w:p>
        </w:tc>
      </w:tr>
    </w:tbl>
    <w:p>
      <w:pPr>
        <w:spacing w:line="360" w:lineRule="auto"/>
        <w:rPr>
          <w:rFonts w:hint="eastAsia" w:ascii="宋体" w:hAnsi="宋体" w:cs="宋体"/>
          <w:szCs w:val="21"/>
        </w:rPr>
      </w:pPr>
    </w:p>
    <w:p>
      <w:pPr>
        <w:spacing w:line="360" w:lineRule="auto"/>
        <w:rPr>
          <w:rFonts w:hint="eastAsia" w:ascii="宋体" w:hAnsi="宋体" w:cs="宋体"/>
        </w:rPr>
      </w:pPr>
      <w:r>
        <w:rPr>
          <w:rFonts w:hint="eastAsia" w:ascii="宋体" w:hAnsi="宋体" w:cs="宋体"/>
        </w:rPr>
        <w:t>投标人（盖章）：</w:t>
      </w:r>
    </w:p>
    <w:p>
      <w:pPr>
        <w:spacing w:line="360" w:lineRule="auto"/>
        <w:rPr>
          <w:rFonts w:hint="eastAsia" w:ascii="宋体" w:hAnsi="宋体" w:cs="宋体"/>
        </w:rPr>
      </w:pPr>
    </w:p>
    <w:p>
      <w:pPr>
        <w:spacing w:line="360" w:lineRule="auto"/>
        <w:rPr>
          <w:rFonts w:hint="eastAsia" w:ascii="宋体" w:hAnsi="宋体" w:cs="宋体"/>
        </w:rPr>
      </w:pPr>
      <w:r>
        <w:rPr>
          <w:rFonts w:hint="eastAsia" w:ascii="宋体" w:hAnsi="宋体" w:cs="宋体"/>
        </w:rPr>
        <w:t>投标人代表（签字或盖章）：</w:t>
      </w:r>
    </w:p>
    <w:p>
      <w:pPr>
        <w:spacing w:line="360" w:lineRule="auto"/>
        <w:rPr>
          <w:rFonts w:hint="eastAsia" w:ascii="宋体" w:hAnsi="宋体" w:cs="宋体"/>
        </w:rPr>
      </w:pPr>
    </w:p>
    <w:p>
      <w:pPr>
        <w:spacing w:line="360" w:lineRule="auto"/>
        <w:ind w:firstLine="4410" w:firstLineChars="2100"/>
        <w:rPr>
          <w:rFonts w:hint="eastAsia" w:ascii="宋体" w:hAnsi="宋体" w:cs="宋体"/>
        </w:rPr>
      </w:pPr>
      <w:r>
        <w:rPr>
          <w:rFonts w:hint="eastAsia" w:ascii="宋体" w:hAnsi="宋体" w:cs="宋体"/>
        </w:rPr>
        <w:t>年      月      日</w:t>
      </w:r>
    </w:p>
    <w:p>
      <w:pPr>
        <w:spacing w:line="360" w:lineRule="auto"/>
        <w:jc w:val="center"/>
        <w:rPr>
          <w:rFonts w:hint="eastAsia" w:ascii="宋体" w:hAnsi="宋体" w:cs="宋体"/>
        </w:rPr>
      </w:pPr>
    </w:p>
    <w:p>
      <w:pPr>
        <w:spacing w:line="360" w:lineRule="auto"/>
        <w:jc w:val="center"/>
        <w:rPr>
          <w:rFonts w:hint="eastAsia" w:ascii="宋体" w:hAnsi="宋体" w:cs="宋体"/>
          <w:sz w:val="28"/>
        </w:rPr>
      </w:pPr>
    </w:p>
    <w:p>
      <w:pPr>
        <w:rPr>
          <w:rFonts w:hint="eastAsia"/>
          <w:szCs w:val="21"/>
          <w:lang w:val="en-US" w:eastAsia="zh-CN"/>
        </w:rPr>
      </w:pPr>
      <w:r>
        <w:rPr>
          <w:rFonts w:hint="eastAsia" w:ascii="楷体" w:hAnsi="楷体" w:eastAsia="楷体" w:cs="Times New Roman"/>
          <w:sz w:val="28"/>
          <w:szCs w:val="28"/>
        </w:rPr>
        <w:t>附件</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rPr>
        <w:t>：</w:t>
      </w:r>
      <w:r>
        <w:rPr>
          <w:rFonts w:hint="eastAsia"/>
          <w:szCs w:val="21"/>
        </w:rPr>
        <w:t xml:space="preserve"> </w:t>
      </w:r>
    </w:p>
    <w:p>
      <w:pPr>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煤泥</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rPr>
            </w:pPr>
          </w:p>
        </w:tc>
        <w:tc>
          <w:tcPr>
            <w:tcW w:w="1247" w:type="dxa"/>
            <w:noWrap w:val="0"/>
            <w:vAlign w:val="center"/>
          </w:tcPr>
          <w:p>
            <w:pPr>
              <w:jc w:val="both"/>
              <w:rPr>
                <w:rFonts w:hint="default" w:eastAsia="宋体"/>
                <w:szCs w:val="21"/>
                <w:lang w:val="en-US" w:eastAsia="zh-CN"/>
              </w:rPr>
            </w:pPr>
          </w:p>
        </w:tc>
        <w:tc>
          <w:tcPr>
            <w:tcW w:w="1229" w:type="dxa"/>
            <w:noWrap w:val="0"/>
            <w:vAlign w:val="center"/>
          </w:tcPr>
          <w:p>
            <w:pPr>
              <w:jc w:val="center"/>
              <w:rPr>
                <w:rFonts w:hint="default"/>
                <w:szCs w:val="21"/>
                <w:lang w:val="en-US" w:eastAsia="zh-CN"/>
              </w:rPr>
            </w:pPr>
          </w:p>
        </w:tc>
        <w:tc>
          <w:tcPr>
            <w:tcW w:w="1522" w:type="dxa"/>
            <w:noWrap w:val="0"/>
            <w:vAlign w:val="center"/>
          </w:tcPr>
          <w:p>
            <w:pPr>
              <w:jc w:val="center"/>
              <w:rPr>
                <w:rFonts w:hint="eastAsia"/>
                <w:szCs w:val="21"/>
              </w:rPr>
            </w:pPr>
          </w:p>
        </w:tc>
        <w:tc>
          <w:tcPr>
            <w:tcW w:w="1320" w:type="dxa"/>
            <w:noWrap w:val="0"/>
            <w:vAlign w:val="center"/>
          </w:tcPr>
          <w:p>
            <w:pPr>
              <w:spacing w:line="440" w:lineRule="exact"/>
              <w:jc w:val="center"/>
              <w:rPr>
                <w:rFonts w:hint="default"/>
                <w:szCs w:val="21"/>
                <w:lang w:val="en-US" w:eastAsia="zh-CN"/>
              </w:rPr>
            </w:pPr>
          </w:p>
        </w:tc>
        <w:tc>
          <w:tcPr>
            <w:tcW w:w="1302" w:type="dxa"/>
            <w:noWrap w:val="0"/>
            <w:vAlign w:val="center"/>
          </w:tcPr>
          <w:p>
            <w:pPr>
              <w:jc w:val="center"/>
              <w:rPr>
                <w:rFonts w:hint="eastAsia" w:eastAsia="宋体"/>
                <w:szCs w:val="21"/>
                <w:lang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lang w:val="en-US" w:eastAsia="zh-CN"/>
        </w:rPr>
      </w:pPr>
      <w:r>
        <w:rPr>
          <w:rFonts w:hint="eastAsia"/>
          <w:szCs w:val="21"/>
          <w:lang w:val="en-US" w:eastAsia="zh-CN"/>
        </w:rPr>
        <w:t>1、低硫烟煤收到基低位发热量在</w:t>
      </w:r>
      <w:r>
        <w:rPr>
          <w:rFonts w:hint="eastAsia"/>
          <w:szCs w:val="21"/>
          <w:u w:val="single"/>
          <w:lang w:val="en-US" w:eastAsia="zh-CN"/>
        </w:rPr>
        <w:t xml:space="preserve"> Q </w:t>
      </w:r>
      <w:r>
        <w:rPr>
          <w:rFonts w:hint="eastAsia"/>
          <w:szCs w:val="21"/>
          <w:lang w:val="en-US" w:eastAsia="zh-CN"/>
        </w:rPr>
        <w:t>Kcal/Kg（含）以上时，按每大卡( 基准价/Q）元结算。</w:t>
      </w:r>
    </w:p>
    <w:p>
      <w:pPr>
        <w:ind w:firstLine="420" w:firstLineChars="200"/>
        <w:rPr>
          <w:rFonts w:hint="eastAsia"/>
          <w:szCs w:val="21"/>
          <w:lang w:val="en-US" w:eastAsia="zh-CN"/>
        </w:rPr>
      </w:pPr>
      <w:r>
        <w:rPr>
          <w:rFonts w:hint="eastAsia"/>
          <w:szCs w:val="21"/>
          <w:lang w:val="en-US" w:eastAsia="zh-CN"/>
        </w:rPr>
        <w:t>2．低硫烟煤收到基低位发热量在</w:t>
      </w:r>
      <w:r>
        <w:rPr>
          <w:rFonts w:hint="eastAsia"/>
          <w:szCs w:val="21"/>
          <w:u w:val="single"/>
          <w:lang w:val="en-US" w:eastAsia="zh-CN"/>
        </w:rPr>
        <w:t>Q-200</w:t>
      </w:r>
      <w:r>
        <w:rPr>
          <w:rFonts w:hint="eastAsia"/>
          <w:szCs w:val="21"/>
          <w:lang w:val="en-US" w:eastAsia="zh-CN"/>
        </w:rPr>
        <w:t xml:space="preserve"> Kcal/Kg（含）至</w:t>
      </w:r>
      <w:r>
        <w:rPr>
          <w:rFonts w:hint="eastAsia"/>
          <w:szCs w:val="21"/>
          <w:u w:val="single"/>
          <w:lang w:val="en-US" w:eastAsia="zh-CN"/>
        </w:rPr>
        <w:t xml:space="preserve">  Q  </w:t>
      </w:r>
      <w:r>
        <w:rPr>
          <w:rFonts w:hint="eastAsia"/>
          <w:szCs w:val="21"/>
          <w:lang w:val="en-US" w:eastAsia="zh-CN"/>
        </w:rPr>
        <w:t>Kcal/Kg之间时，按每大卡(基准价/Q-0.004) 元结算。</w:t>
      </w:r>
    </w:p>
    <w:p>
      <w:pPr>
        <w:ind w:firstLine="420" w:firstLineChars="200"/>
        <w:rPr>
          <w:rFonts w:hint="eastAsia"/>
          <w:szCs w:val="21"/>
          <w:lang w:val="en-US" w:eastAsia="zh-CN"/>
        </w:rPr>
      </w:pPr>
      <w:r>
        <w:rPr>
          <w:rFonts w:hint="eastAsia"/>
          <w:szCs w:val="21"/>
          <w:lang w:val="en-US" w:eastAsia="zh-CN"/>
        </w:rPr>
        <w:t>3、低硫烟煤收到基低位发热量低于</w:t>
      </w:r>
      <w:r>
        <w:rPr>
          <w:rFonts w:hint="eastAsia"/>
          <w:szCs w:val="21"/>
          <w:u w:val="single"/>
          <w:lang w:val="en-US" w:eastAsia="zh-CN"/>
        </w:rPr>
        <w:t>Q-200</w:t>
      </w:r>
      <w:r>
        <w:rPr>
          <w:rFonts w:hint="eastAsia"/>
          <w:szCs w:val="21"/>
          <w:lang w:val="en-US" w:eastAsia="zh-CN"/>
        </w:rPr>
        <w:t xml:space="preserve"> Kcal/Kg时，需方有权拒收低硫烟煤。</w:t>
      </w:r>
    </w:p>
    <w:p>
      <w:pPr>
        <w:ind w:firstLine="420" w:firstLineChars="200"/>
        <w:rPr>
          <w:rFonts w:hint="default"/>
          <w:szCs w:val="21"/>
          <w:lang w:val="en-US" w:eastAsia="zh-CN"/>
        </w:rPr>
      </w:pPr>
      <w:r>
        <w:rPr>
          <w:rFonts w:hint="eastAsia"/>
          <w:szCs w:val="21"/>
          <w:lang w:val="en-US" w:eastAsia="zh-CN"/>
        </w:rPr>
        <w:t>4、低硫烟煤收到基全硫在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5、低硫烟煤收到基全水分在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lang w:val="en-US" w:eastAsia="zh-CN"/>
        </w:rPr>
      </w:pPr>
      <w:r>
        <w:rPr>
          <w:rFonts w:hint="eastAsia"/>
          <w:szCs w:val="21"/>
          <w:lang w:val="en-US" w:eastAsia="zh-CN"/>
        </w:rPr>
        <w:t>6、低硫烟煤收到基挥发份低于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u w:val="single"/>
          <w:lang w:val="en-US" w:eastAsia="zh-CN"/>
        </w:rPr>
        <w:t xml:space="preserve"> 100大卡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100大卡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3"/>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CF4378"/>
    <w:rsid w:val="0301143E"/>
    <w:rsid w:val="03533CCF"/>
    <w:rsid w:val="03B32348"/>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DB1444"/>
    <w:rsid w:val="104733DE"/>
    <w:rsid w:val="105D5141"/>
    <w:rsid w:val="106870EC"/>
    <w:rsid w:val="10AE1436"/>
    <w:rsid w:val="10FA550C"/>
    <w:rsid w:val="114B6C50"/>
    <w:rsid w:val="1160273E"/>
    <w:rsid w:val="118F3344"/>
    <w:rsid w:val="12433C87"/>
    <w:rsid w:val="1245504E"/>
    <w:rsid w:val="12A21D9D"/>
    <w:rsid w:val="12C72BE9"/>
    <w:rsid w:val="13403A29"/>
    <w:rsid w:val="1369764B"/>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667763"/>
    <w:rsid w:val="2193373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9935720"/>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05D67"/>
    <w:rsid w:val="2E2273DE"/>
    <w:rsid w:val="2E282DCC"/>
    <w:rsid w:val="2E4849F0"/>
    <w:rsid w:val="2F1D7CA8"/>
    <w:rsid w:val="301D2277"/>
    <w:rsid w:val="30B00320"/>
    <w:rsid w:val="30B16CD6"/>
    <w:rsid w:val="30CF024E"/>
    <w:rsid w:val="31140915"/>
    <w:rsid w:val="318140BC"/>
    <w:rsid w:val="31A3002B"/>
    <w:rsid w:val="31C71A3E"/>
    <w:rsid w:val="32485E9F"/>
    <w:rsid w:val="33741899"/>
    <w:rsid w:val="344D49DC"/>
    <w:rsid w:val="344E0EFD"/>
    <w:rsid w:val="347342F2"/>
    <w:rsid w:val="35412DF1"/>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05391C"/>
    <w:rsid w:val="4B810B2B"/>
    <w:rsid w:val="4BF50FFE"/>
    <w:rsid w:val="4BF652CB"/>
    <w:rsid w:val="4C33438B"/>
    <w:rsid w:val="4C704300"/>
    <w:rsid w:val="4C7F5D78"/>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59196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8A6BC1"/>
    <w:rsid w:val="5EC20559"/>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BE0230"/>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2D742B"/>
    <w:rsid w:val="6E473D9A"/>
    <w:rsid w:val="6E8A70E6"/>
    <w:rsid w:val="6EA12155"/>
    <w:rsid w:val="6F122B74"/>
    <w:rsid w:val="6FAF53B1"/>
    <w:rsid w:val="70281960"/>
    <w:rsid w:val="706B16CF"/>
    <w:rsid w:val="708462B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1</TotalTime>
  <ScaleCrop>false</ScaleCrop>
  <LinksUpToDate>false</LinksUpToDate>
  <CharactersWithSpaces>8385</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Administrator</cp:lastModifiedBy>
  <cp:lastPrinted>2021-03-23T00:57:00Z</cp:lastPrinted>
  <dcterms:modified xsi:type="dcterms:W3CDTF">2021-07-08T02:53:00Z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4D88E089027743E180AF16F5B5ABF1C6</vt:lpwstr>
  </property>
</Properties>
</file>