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2021年6月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1、电厂用煤炭：烟煤</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5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5000Kcal/kg（+100，-300）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收到基硫</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焦渣特性</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8"/>
                <w:szCs w:val="28"/>
              </w:rPr>
              <w:t>10000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采购数量：1万吨（±5％），每个投标单元数量为5000吨，不允许水洗煤。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交货时间：交货时间为2021年6月23日－2021年6月30日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5、合同格式详见附件4：《煤炭购销合同（烟煤）》，</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 xml:space="preserve">年  </w:t>
      </w:r>
      <w:r>
        <w:rPr>
          <w:rFonts w:hint="eastAsia" w:ascii="楷体" w:hAnsi="楷体" w:eastAsia="楷体" w:cs="Times New Roman"/>
          <w:color w:val="2A2A2A"/>
          <w:sz w:val="28"/>
          <w:szCs w:val="28"/>
          <w:u w:val="single"/>
          <w:lang w:val="en-US" w:eastAsia="zh-CN"/>
        </w:rPr>
        <w:t>6</w:t>
      </w:r>
      <w:r>
        <w:rPr>
          <w:rFonts w:hint="eastAsia" w:ascii="楷体" w:hAnsi="楷体" w:eastAsia="楷体" w:cs="Times New Roman"/>
          <w:color w:val="2A2A2A"/>
          <w:sz w:val="28"/>
          <w:szCs w:val="28"/>
          <w:u w:val="single"/>
        </w:rPr>
        <w:t xml:space="preserve">  月  </w:t>
      </w:r>
      <w:r>
        <w:rPr>
          <w:rFonts w:hint="eastAsia" w:ascii="楷体" w:hAnsi="楷体" w:eastAsia="楷体" w:cs="Times New Roman"/>
          <w:color w:val="2A2A2A"/>
          <w:sz w:val="28"/>
          <w:szCs w:val="28"/>
          <w:u w:val="single"/>
          <w:lang w:val="en-US" w:eastAsia="zh-CN"/>
        </w:rPr>
        <w:t>23</w:t>
      </w:r>
      <w:r>
        <w:rPr>
          <w:rFonts w:hint="eastAsia" w:ascii="楷体" w:hAnsi="楷体" w:eastAsia="楷体" w:cs="Times New Roman"/>
          <w:color w:val="2A2A2A"/>
          <w:sz w:val="28"/>
          <w:szCs w:val="28"/>
          <w:u w:val="single"/>
        </w:rPr>
        <w:t xml:space="preserve">  </w:t>
      </w:r>
      <w:bookmarkStart w:id="0" w:name="_GoBack"/>
      <w:bookmarkEnd w:id="0"/>
      <w:r>
        <w:rPr>
          <w:rFonts w:hint="eastAsia" w:ascii="楷体" w:hAnsi="楷体" w:eastAsia="楷体" w:cs="Times New Roman"/>
          <w:color w:val="2A2A2A"/>
          <w:sz w:val="28"/>
          <w:szCs w:val="28"/>
          <w:u w:val="single"/>
        </w:rPr>
        <w:t>日1</w:t>
      </w:r>
      <w:r>
        <w:rPr>
          <w:rFonts w:hint="eastAsia" w:ascii="楷体" w:hAnsi="楷体" w:eastAsia="楷体" w:cs="Times New Roman"/>
          <w:color w:val="2A2A2A"/>
          <w:sz w:val="28"/>
          <w:szCs w:val="28"/>
          <w:u w:val="single"/>
          <w:lang w:val="en-US" w:eastAsia="zh-CN"/>
        </w:rPr>
        <w:t>0</w:t>
      </w:r>
      <w:r>
        <w:rPr>
          <w:rFonts w:hint="eastAsia" w:ascii="楷体" w:hAnsi="楷体" w:eastAsia="楷体" w:cs="Times New Roman"/>
          <w:color w:val="2A2A2A"/>
          <w:sz w:val="28"/>
          <w:szCs w:val="28"/>
          <w:u w:val="single"/>
        </w:rPr>
        <w:t xml:space="preserve"> 时 00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25元/吨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（五）中标单位投标保证金在其履约保证金到账后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lang w:val="en-US" w:eastAsia="zh-CN"/>
        </w:rPr>
        <w:t>中标单位投标保证金自动转为</w:t>
      </w:r>
      <w:r>
        <w:rPr>
          <w:rFonts w:hint="eastAsia" w:ascii="楷体" w:hAnsi="楷体" w:eastAsia="楷体" w:cs="Times New Roman"/>
          <w:b/>
          <w:bCs/>
          <w:sz w:val="28"/>
          <w:szCs w:val="28"/>
        </w:rPr>
        <w:t>合同履约保证金，</w:t>
      </w:r>
      <w:r>
        <w:rPr>
          <w:rFonts w:hint="eastAsia" w:ascii="楷体" w:hAnsi="楷体" w:eastAsia="楷体" w:cs="Times New Roman"/>
          <w:sz w:val="28"/>
          <w:szCs w:val="28"/>
        </w:rPr>
        <w:t>中标方收到中标通知书后，在签订合同前以银行转账或汇票的方式支付，合同履行完毕且双方无争议的情况下无息退还。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w:t>
      </w:r>
      <w:r>
        <w:rPr>
          <w:rFonts w:hint="eastAsia" w:ascii="楷体" w:hAnsi="楷体" w:eastAsia="楷体" w:cs="Times New Roman"/>
          <w:sz w:val="28"/>
          <w:szCs w:val="28"/>
          <w:u w:val="single"/>
          <w:lang w:val="en-US" w:eastAsia="zh-CN"/>
        </w:rPr>
        <w:t>6</w:t>
      </w:r>
      <w:r>
        <w:rPr>
          <w:rFonts w:hint="eastAsia" w:ascii="楷体" w:hAnsi="楷体" w:eastAsia="楷体" w:cs="Times New Roman"/>
          <w:sz w:val="28"/>
          <w:szCs w:val="28"/>
          <w:u w:val="single"/>
        </w:rPr>
        <w:t xml:space="preserve">  月 </w:t>
      </w:r>
      <w:r>
        <w:rPr>
          <w:rFonts w:hint="eastAsia" w:ascii="楷体" w:hAnsi="楷体" w:eastAsia="楷体" w:cs="Times New Roman"/>
          <w:sz w:val="28"/>
          <w:szCs w:val="28"/>
          <w:u w:val="single"/>
          <w:lang w:val="en-US" w:eastAsia="zh-CN"/>
        </w:rPr>
        <w:t>23</w:t>
      </w:r>
      <w:r>
        <w:rPr>
          <w:rFonts w:hint="eastAsia" w:ascii="楷体" w:hAnsi="楷体" w:eastAsia="楷体" w:cs="Times New Roman"/>
          <w:sz w:val="28"/>
          <w:szCs w:val="28"/>
          <w:u w:val="single"/>
        </w:rPr>
        <w:t xml:space="preserve">  日1</w:t>
      </w:r>
      <w:r>
        <w:rPr>
          <w:rFonts w:hint="eastAsia" w:ascii="楷体" w:hAnsi="楷体" w:eastAsia="楷体" w:cs="Times New Roman"/>
          <w:sz w:val="28"/>
          <w:szCs w:val="28"/>
          <w:u w:val="single"/>
          <w:lang w:val="en-US" w:eastAsia="zh-CN"/>
        </w:rPr>
        <w:t>0</w:t>
      </w:r>
      <w:r>
        <w:rPr>
          <w:rFonts w:hint="eastAsia" w:ascii="楷体" w:hAnsi="楷体" w:eastAsia="楷体" w:cs="Times New Roman"/>
          <w:sz w:val="28"/>
          <w:szCs w:val="28"/>
          <w:u w:val="single"/>
        </w:rPr>
        <w:t xml:space="preserve"> 时 00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ind w:firstLine="1800" w:firstLineChars="500"/>
        <w:rPr>
          <w:sz w:val="36"/>
          <w:szCs w:val="36"/>
        </w:rPr>
      </w:pPr>
      <w:r>
        <w:rPr>
          <w:rFonts w:hint="eastAsia"/>
          <w:sz w:val="36"/>
          <w:szCs w:val="36"/>
        </w:rPr>
        <w:t>煤炭购销合同（烟煤）</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：烟煤</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tcPr>
          <w:p>
            <w:pPr>
              <w:jc w:val="center"/>
              <w:rPr>
                <w:szCs w:val="21"/>
              </w:rPr>
            </w:pPr>
            <w:r>
              <w:rPr>
                <w:rFonts w:hint="eastAsia"/>
                <w:szCs w:val="21"/>
              </w:rPr>
              <w:t>低位发热量</w:t>
            </w:r>
          </w:p>
          <w:p>
            <w:pPr>
              <w:jc w:val="center"/>
              <w:rPr>
                <w:szCs w:val="21"/>
              </w:rPr>
            </w:pPr>
          </w:p>
        </w:tc>
        <w:tc>
          <w:tcPr>
            <w:tcW w:w="1020" w:type="dxa"/>
          </w:tcPr>
          <w:p>
            <w:pPr>
              <w:jc w:val="center"/>
              <w:rPr>
                <w:szCs w:val="21"/>
              </w:rPr>
            </w:pPr>
            <w:r>
              <w:rPr>
                <w:rFonts w:hint="eastAsia"/>
                <w:szCs w:val="21"/>
              </w:rPr>
              <w:t>挥发份</w:t>
            </w:r>
          </w:p>
          <w:p>
            <w:pPr>
              <w:jc w:val="center"/>
              <w:rPr>
                <w:szCs w:val="21"/>
              </w:rPr>
            </w:pPr>
          </w:p>
        </w:tc>
        <w:tc>
          <w:tcPr>
            <w:tcW w:w="1005" w:type="dxa"/>
          </w:tcPr>
          <w:p>
            <w:pPr>
              <w:jc w:val="center"/>
              <w:rPr>
                <w:szCs w:val="21"/>
              </w:rPr>
            </w:pPr>
            <w:r>
              <w:rPr>
                <w:rFonts w:hint="eastAsia"/>
                <w:szCs w:val="21"/>
              </w:rPr>
              <w:t>全硫</w:t>
            </w:r>
          </w:p>
          <w:p>
            <w:pPr>
              <w:jc w:val="center"/>
              <w:rPr>
                <w:szCs w:val="21"/>
              </w:rPr>
            </w:pPr>
          </w:p>
        </w:tc>
        <w:tc>
          <w:tcPr>
            <w:tcW w:w="930" w:type="dxa"/>
          </w:tcPr>
          <w:p>
            <w:pPr>
              <w:jc w:val="center"/>
              <w:rPr>
                <w:szCs w:val="21"/>
              </w:rPr>
            </w:pPr>
            <w:r>
              <w:rPr>
                <w:rFonts w:hint="eastAsia"/>
                <w:szCs w:val="21"/>
              </w:rPr>
              <w:t>全水份</w:t>
            </w:r>
          </w:p>
          <w:p>
            <w:pPr>
              <w:jc w:val="center"/>
              <w:rPr>
                <w:szCs w:val="21"/>
              </w:rPr>
            </w:pPr>
          </w:p>
        </w:tc>
        <w:tc>
          <w:tcPr>
            <w:tcW w:w="855" w:type="dxa"/>
          </w:tcPr>
          <w:p>
            <w:pPr>
              <w:ind w:firstLine="210" w:firstLineChars="100"/>
              <w:jc w:val="center"/>
              <w:rPr>
                <w:rFonts w:eastAsia="宋体"/>
                <w:szCs w:val="21"/>
              </w:rPr>
            </w:pPr>
            <w:r>
              <w:rPr>
                <w:rFonts w:hint="eastAsia"/>
                <w:szCs w:val="21"/>
              </w:rPr>
              <w:t>外水</w:t>
            </w:r>
          </w:p>
        </w:tc>
        <w:tc>
          <w:tcPr>
            <w:tcW w:w="1035" w:type="dxa"/>
          </w:tcPr>
          <w:p>
            <w:pPr>
              <w:ind w:firstLine="210" w:firstLineChars="100"/>
              <w:jc w:val="center"/>
              <w:rPr>
                <w:szCs w:val="21"/>
              </w:rPr>
            </w:pPr>
            <w:r>
              <w:rPr>
                <w:rFonts w:hint="eastAsia"/>
                <w:szCs w:val="21"/>
              </w:rPr>
              <w:t>灰份</w:t>
            </w:r>
          </w:p>
          <w:p>
            <w:pPr>
              <w:jc w:val="center"/>
              <w:rPr>
                <w:szCs w:val="21"/>
              </w:rPr>
            </w:pPr>
          </w:p>
        </w:tc>
        <w:tc>
          <w:tcPr>
            <w:tcW w:w="1080" w:type="dxa"/>
          </w:tcPr>
          <w:p>
            <w:pPr>
              <w:jc w:val="center"/>
              <w:rPr>
                <w:rFonts w:eastAsia="宋体"/>
                <w:szCs w:val="21"/>
              </w:rPr>
            </w:pPr>
            <w:r>
              <w:rPr>
                <w:rFonts w:hint="eastAsia"/>
                <w:szCs w:val="21"/>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vAlign w:val="center"/>
          </w:tcPr>
          <w:p>
            <w:pPr>
              <w:jc w:val="center"/>
              <w:rPr>
                <w:szCs w:val="21"/>
              </w:rPr>
            </w:pPr>
          </w:p>
        </w:tc>
        <w:tc>
          <w:tcPr>
            <w:tcW w:w="1020" w:type="dxa"/>
            <w:vAlign w:val="center"/>
          </w:tcPr>
          <w:p>
            <w:pPr>
              <w:rPr>
                <w:rFonts w:eastAsia="宋体"/>
                <w:szCs w:val="21"/>
              </w:rPr>
            </w:pPr>
          </w:p>
        </w:tc>
        <w:tc>
          <w:tcPr>
            <w:tcW w:w="1005" w:type="dxa"/>
            <w:vAlign w:val="center"/>
          </w:tcPr>
          <w:p>
            <w:pPr>
              <w:jc w:val="center"/>
              <w:rPr>
                <w:szCs w:val="21"/>
              </w:rPr>
            </w:pPr>
          </w:p>
        </w:tc>
        <w:tc>
          <w:tcPr>
            <w:tcW w:w="930" w:type="dxa"/>
            <w:vAlign w:val="center"/>
          </w:tcPr>
          <w:p>
            <w:pPr>
              <w:jc w:val="center"/>
              <w:rPr>
                <w:szCs w:val="21"/>
              </w:rPr>
            </w:pPr>
          </w:p>
        </w:tc>
        <w:tc>
          <w:tcPr>
            <w:tcW w:w="855" w:type="dxa"/>
            <w:vAlign w:val="center"/>
          </w:tcPr>
          <w:p>
            <w:pPr>
              <w:spacing w:line="440" w:lineRule="exact"/>
              <w:jc w:val="center"/>
              <w:rPr>
                <w:szCs w:val="21"/>
              </w:rPr>
            </w:pPr>
          </w:p>
        </w:tc>
        <w:tc>
          <w:tcPr>
            <w:tcW w:w="1035" w:type="dxa"/>
            <w:vAlign w:val="center"/>
          </w:tcPr>
          <w:p>
            <w:pPr>
              <w:jc w:val="center"/>
              <w:rPr>
                <w:rFonts w:eastAsia="宋体"/>
                <w:szCs w:val="21"/>
              </w:rPr>
            </w:pPr>
          </w:p>
        </w:tc>
        <w:tc>
          <w:tcPr>
            <w:tcW w:w="1080" w:type="dxa"/>
            <w:vAlign w:val="center"/>
          </w:tcPr>
          <w:p>
            <w:pP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szCs w:val="21"/>
        </w:rPr>
      </w:pPr>
      <w:r>
        <w:rPr>
          <w:rFonts w:hint="eastAsia"/>
          <w:szCs w:val="21"/>
        </w:rPr>
        <w:t>2、收到基全水高于X％时，每高0.1%扣总吨位的0.1%数量，扣减水分不增加热值；收到基外水高于X％时，每高0.1%扣总吨位的0.1%数量，扣减水分不增加热值，若收到基外水高于</w:t>
      </w:r>
      <w:r>
        <w:rPr>
          <w:rFonts w:hint="eastAsia"/>
          <w:szCs w:val="21"/>
          <w:u w:val="single"/>
        </w:rPr>
        <w:t>（X＋  ）％</w:t>
      </w:r>
      <w:r>
        <w:rPr>
          <w:rFonts w:hint="eastAsia"/>
          <w:szCs w:val="21"/>
        </w:rPr>
        <w:t>时，需方有权拒收。</w:t>
      </w:r>
    </w:p>
    <w:p>
      <w:pPr>
        <w:ind w:firstLine="420" w:firstLineChars="200"/>
        <w:rPr>
          <w:szCs w:val="21"/>
        </w:rPr>
      </w:pPr>
      <w:r>
        <w:rPr>
          <w:rFonts w:hint="eastAsia"/>
          <w:szCs w:val="21"/>
        </w:rPr>
        <w:t>3、X%＜收到基全硫≤(X+0.2)%时，硫含量每上升0.1％，则每吨价格扣5元；当全硫＞(X+0.2) %时，超过(X+0.2) 部分，每上升0.1％，则每吨价格扣10元；当全硫＞(X+0.4) %需方有权拒收。</w:t>
      </w:r>
    </w:p>
    <w:p>
      <w:pPr>
        <w:ind w:firstLine="420" w:firstLineChars="200"/>
        <w:rPr>
          <w:szCs w:val="21"/>
        </w:rPr>
      </w:pPr>
      <w:r>
        <w:rPr>
          <w:rFonts w:hint="eastAsia"/>
          <w:szCs w:val="21"/>
        </w:rPr>
        <w:t>4、收到基挥发份＜X%时，按每低 1%扣4元/吨结算，不足1%按比例计算。</w:t>
      </w:r>
    </w:p>
    <w:p>
      <w:pPr>
        <w:ind w:firstLine="420" w:firstLineChars="200"/>
        <w:rPr>
          <w:szCs w:val="21"/>
          <w:u w:val="single"/>
        </w:rPr>
      </w:pPr>
      <w:r>
        <w:rPr>
          <w:rFonts w:hint="eastAsia"/>
          <w:szCs w:val="21"/>
        </w:rPr>
        <w:t>5、焦渣特性超过合同指标范围时，需方有权拒收，若接收，按每偏差一个标号扣4元/吨结算。</w:t>
      </w:r>
    </w:p>
    <w:p>
      <w:pPr>
        <w:adjustRightInd w:val="0"/>
        <w:snapToGrid w:val="0"/>
        <w:rPr>
          <w:szCs w:val="21"/>
        </w:rPr>
      </w:pPr>
      <w:r>
        <w:rPr>
          <w:rFonts w:hint="eastAsia"/>
          <w:szCs w:val="21"/>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rPr>
          <w:rFonts w:eastAsia="宋体"/>
        </w:rPr>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textAlignment w:val="baseline"/>
        <w:rPr>
          <w:rFonts w:eastAsia="宋体"/>
          <w:szCs w:val="21"/>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pPr>
      <w:r>
        <w:rPr>
          <w:rFonts w:hint="eastAsia"/>
          <w:szCs w:val="21"/>
        </w:rPr>
        <w:t>签订时间：    年   月    日</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rFonts w:ascii="楷体" w:hAnsi="楷体" w:eastAsia="楷体" w:cs="Times New Roman"/>
          <w:sz w:val="28"/>
          <w:szCs w:val="28"/>
        </w:rPr>
      </w:pPr>
      <w:r>
        <w:rPr>
          <w:rFonts w:hint="eastAsia"/>
          <w:szCs w:val="21"/>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664D97"/>
    <w:rsid w:val="02CF4378"/>
    <w:rsid w:val="0301143E"/>
    <w:rsid w:val="03533CCF"/>
    <w:rsid w:val="03B32348"/>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DB1444"/>
    <w:rsid w:val="104733DE"/>
    <w:rsid w:val="105D5141"/>
    <w:rsid w:val="106870EC"/>
    <w:rsid w:val="10AE1436"/>
    <w:rsid w:val="10FA550C"/>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9935720"/>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05D67"/>
    <w:rsid w:val="2E2273DE"/>
    <w:rsid w:val="2E282DCC"/>
    <w:rsid w:val="2E4849F0"/>
    <w:rsid w:val="2F1D7CA8"/>
    <w:rsid w:val="301D2277"/>
    <w:rsid w:val="30B00320"/>
    <w:rsid w:val="30B16CD6"/>
    <w:rsid w:val="30CF024E"/>
    <w:rsid w:val="31140915"/>
    <w:rsid w:val="318140BC"/>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05391C"/>
    <w:rsid w:val="4B810B2B"/>
    <w:rsid w:val="4BF50FFE"/>
    <w:rsid w:val="4BF652CB"/>
    <w:rsid w:val="4C33438B"/>
    <w:rsid w:val="4C704300"/>
    <w:rsid w:val="4C7F5D78"/>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59196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8A6BC1"/>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BE0230"/>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2D742B"/>
    <w:rsid w:val="6E473D9A"/>
    <w:rsid w:val="6E8A70E6"/>
    <w:rsid w:val="6EA12155"/>
    <w:rsid w:val="6F122B74"/>
    <w:rsid w:val="6FAF53B1"/>
    <w:rsid w:val="70281960"/>
    <w:rsid w:val="706B16CF"/>
    <w:rsid w:val="708462B8"/>
    <w:rsid w:val="70CE33F4"/>
    <w:rsid w:val="70FC2D9A"/>
    <w:rsid w:val="71654E5B"/>
    <w:rsid w:val="717864A4"/>
    <w:rsid w:val="7255750B"/>
    <w:rsid w:val="72DC4A9B"/>
    <w:rsid w:val="72F60905"/>
    <w:rsid w:val="730D170E"/>
    <w:rsid w:val="73282E7A"/>
    <w:rsid w:val="7350716B"/>
    <w:rsid w:val="73AE4453"/>
    <w:rsid w:val="73E408E0"/>
    <w:rsid w:val="740D35E1"/>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15</TotalTime>
  <ScaleCrop>false</ScaleCrop>
  <LinksUpToDate>false</LinksUpToDate>
  <CharactersWithSpaces>8385</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2021-06-21T09:03:33Z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4D88E089027743E180AF16F5B5ABF1C6</vt:lpwstr>
  </property>
</Properties>
</file>