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60" w:lineRule="exact"/>
        <w:jc w:val="center"/>
        <w:rPr>
          <w:rFonts w:ascii="宋体" w:hAnsi="宋体"/>
          <w:b/>
          <w:sz w:val="36"/>
          <w:szCs w:val="36"/>
        </w:rPr>
      </w:pPr>
      <w:r>
        <w:rPr>
          <w:rFonts w:hint="eastAsia" w:ascii="宋体" w:hAnsi="宋体"/>
          <w:b/>
          <w:sz w:val="36"/>
          <w:szCs w:val="36"/>
        </w:rPr>
        <w:t>贵州黔东电力有限公司</w:t>
      </w:r>
    </w:p>
    <w:p>
      <w:pPr>
        <w:spacing w:line="460" w:lineRule="exact"/>
        <w:jc w:val="center"/>
        <w:rPr>
          <w:rFonts w:ascii="宋体" w:hAnsi="宋体"/>
          <w:b/>
          <w:sz w:val="44"/>
          <w:szCs w:val="44"/>
        </w:rPr>
      </w:pPr>
      <w:r>
        <w:rPr>
          <w:rFonts w:hint="eastAsia" w:ascii="宋体" w:hAnsi="宋体"/>
          <w:b/>
          <w:sz w:val="36"/>
          <w:szCs w:val="36"/>
        </w:rPr>
        <w:t>省外煤（除贵州省）竞价采购公告</w:t>
      </w:r>
    </w:p>
    <w:p>
      <w:pPr>
        <w:spacing w:line="360" w:lineRule="auto"/>
        <w:ind w:firstLine="480" w:firstLineChars="200"/>
        <w:rPr>
          <w:rFonts w:ascii="宋体" w:hAnsi="宋体"/>
          <w:sz w:val="24"/>
          <w:szCs w:val="24"/>
        </w:rPr>
      </w:pPr>
      <w:r>
        <w:rPr>
          <w:rFonts w:hint="eastAsia" w:ascii="宋体" w:hAnsi="宋体"/>
          <w:sz w:val="24"/>
          <w:szCs w:val="24"/>
        </w:rPr>
        <w:t>按照公平、公正、公开的原则，拟对我公司202</w:t>
      </w:r>
      <w:r>
        <w:rPr>
          <w:rFonts w:hint="eastAsia" w:ascii="宋体" w:hAnsi="宋体"/>
          <w:sz w:val="24"/>
          <w:szCs w:val="24"/>
          <w:lang w:val="en-US" w:eastAsia="zh-CN"/>
        </w:rPr>
        <w:t>1</w:t>
      </w:r>
      <w:r>
        <w:rPr>
          <w:rFonts w:hint="eastAsia" w:ascii="宋体" w:hAnsi="宋体"/>
          <w:sz w:val="24"/>
          <w:szCs w:val="24"/>
        </w:rPr>
        <w:t>年</w:t>
      </w:r>
      <w:r>
        <w:rPr>
          <w:rFonts w:hint="eastAsia" w:ascii="宋体" w:hAnsi="宋体"/>
          <w:sz w:val="24"/>
          <w:szCs w:val="24"/>
          <w:lang w:val="en-US" w:eastAsia="zh-CN"/>
        </w:rPr>
        <w:t>5</w:t>
      </w:r>
      <w:r>
        <w:rPr>
          <w:rFonts w:hint="eastAsia" w:ascii="宋体" w:hAnsi="宋体"/>
          <w:sz w:val="24"/>
          <w:szCs w:val="24"/>
        </w:rPr>
        <w:t>月</w:t>
      </w:r>
      <w:r>
        <w:rPr>
          <w:rFonts w:hint="eastAsia" w:ascii="宋体" w:hAnsi="宋体"/>
          <w:sz w:val="24"/>
          <w:szCs w:val="24"/>
          <w:lang w:val="en-US" w:eastAsia="zh-CN"/>
        </w:rPr>
        <w:t>1</w:t>
      </w:r>
      <w:r>
        <w:rPr>
          <w:rFonts w:hint="eastAsia" w:ascii="宋体" w:hAnsi="宋体"/>
          <w:sz w:val="24"/>
          <w:szCs w:val="24"/>
        </w:rPr>
        <w:t>日至202</w:t>
      </w:r>
      <w:r>
        <w:rPr>
          <w:rFonts w:hint="eastAsia" w:ascii="宋体" w:hAnsi="宋体"/>
          <w:sz w:val="24"/>
          <w:szCs w:val="24"/>
          <w:lang w:val="en-US" w:eastAsia="zh-CN"/>
        </w:rPr>
        <w:t>1</w:t>
      </w:r>
      <w:r>
        <w:rPr>
          <w:rFonts w:hint="eastAsia" w:ascii="宋体" w:hAnsi="宋体"/>
          <w:sz w:val="24"/>
          <w:szCs w:val="24"/>
        </w:rPr>
        <w:t>年</w:t>
      </w:r>
      <w:r>
        <w:rPr>
          <w:rFonts w:hint="eastAsia" w:ascii="宋体" w:hAnsi="宋体"/>
          <w:sz w:val="24"/>
          <w:szCs w:val="24"/>
          <w:lang w:val="en-US" w:eastAsia="zh-CN"/>
        </w:rPr>
        <w:t>5</w:t>
      </w:r>
      <w:r>
        <w:rPr>
          <w:rFonts w:hint="eastAsia" w:ascii="宋体" w:hAnsi="宋体"/>
          <w:sz w:val="24"/>
          <w:szCs w:val="24"/>
        </w:rPr>
        <w:t>月</w:t>
      </w:r>
      <w:r>
        <w:rPr>
          <w:rFonts w:hint="eastAsia" w:ascii="宋体" w:hAnsi="宋体"/>
          <w:sz w:val="24"/>
          <w:lang w:val="en-US" w:eastAsia="zh-CN"/>
        </w:rPr>
        <w:t>10</w:t>
      </w:r>
      <w:r>
        <w:rPr>
          <w:rFonts w:hint="eastAsia" w:ascii="宋体" w:hAnsi="宋体"/>
          <w:sz w:val="24"/>
          <w:szCs w:val="24"/>
        </w:rPr>
        <w:t>日所需电煤竞价采购，公开竞价，报价时间为202</w:t>
      </w:r>
      <w:r>
        <w:rPr>
          <w:rFonts w:hint="eastAsia" w:ascii="宋体" w:hAnsi="宋体"/>
          <w:sz w:val="24"/>
          <w:szCs w:val="24"/>
          <w:lang w:val="en-US" w:eastAsia="zh-CN"/>
        </w:rPr>
        <w:t>1</w:t>
      </w:r>
      <w:r>
        <w:rPr>
          <w:rFonts w:hint="eastAsia" w:ascii="宋体" w:hAnsi="宋体"/>
          <w:sz w:val="24"/>
          <w:szCs w:val="24"/>
        </w:rPr>
        <w:t>年</w:t>
      </w:r>
      <w:r>
        <w:rPr>
          <w:rFonts w:hint="eastAsia" w:ascii="宋体" w:hAnsi="宋体"/>
          <w:sz w:val="24"/>
          <w:szCs w:val="24"/>
          <w:lang w:val="en-US" w:eastAsia="zh-CN"/>
        </w:rPr>
        <w:t>4</w:t>
      </w:r>
      <w:r>
        <w:rPr>
          <w:rFonts w:hint="eastAsia" w:ascii="宋体" w:hAnsi="宋体"/>
          <w:sz w:val="24"/>
          <w:szCs w:val="24"/>
        </w:rPr>
        <w:t>月</w:t>
      </w:r>
      <w:r>
        <w:rPr>
          <w:rFonts w:hint="eastAsia" w:ascii="宋体" w:hAnsi="宋体"/>
          <w:sz w:val="24"/>
          <w:szCs w:val="24"/>
          <w:lang w:val="en-US" w:eastAsia="zh-CN"/>
        </w:rPr>
        <w:t>24</w:t>
      </w:r>
      <w:r>
        <w:rPr>
          <w:rFonts w:hint="eastAsia" w:ascii="宋体" w:hAnsi="宋体"/>
          <w:sz w:val="24"/>
          <w:szCs w:val="24"/>
        </w:rPr>
        <w:t>日</w:t>
      </w:r>
      <w:r>
        <w:rPr>
          <w:rFonts w:hint="eastAsia" w:ascii="宋体" w:hAnsi="宋体"/>
          <w:sz w:val="24"/>
          <w:szCs w:val="24"/>
          <w:lang w:val="en-US" w:eastAsia="zh-CN"/>
        </w:rPr>
        <w:t>08</w:t>
      </w:r>
      <w:r>
        <w:rPr>
          <w:rFonts w:hint="eastAsia" w:ascii="宋体" w:hAnsi="宋体"/>
          <w:sz w:val="24"/>
          <w:szCs w:val="24"/>
        </w:rPr>
        <w:t>:</w:t>
      </w:r>
      <w:r>
        <w:rPr>
          <w:rFonts w:hint="eastAsia" w:ascii="宋体" w:hAnsi="宋体"/>
          <w:sz w:val="24"/>
          <w:szCs w:val="24"/>
          <w:lang w:val="en-US" w:eastAsia="zh-CN"/>
        </w:rPr>
        <w:t>0</w:t>
      </w:r>
      <w:r>
        <w:rPr>
          <w:rFonts w:hint="eastAsia" w:ascii="宋体" w:hAnsi="宋体"/>
          <w:sz w:val="24"/>
          <w:szCs w:val="24"/>
        </w:rPr>
        <w:t>0至202</w:t>
      </w:r>
      <w:r>
        <w:rPr>
          <w:rFonts w:hint="eastAsia" w:ascii="宋体" w:hAnsi="宋体"/>
          <w:sz w:val="24"/>
          <w:szCs w:val="24"/>
          <w:lang w:val="en-US" w:eastAsia="zh-CN"/>
        </w:rPr>
        <w:t>1</w:t>
      </w:r>
      <w:r>
        <w:rPr>
          <w:rFonts w:hint="eastAsia" w:ascii="宋体" w:hAnsi="宋体"/>
          <w:sz w:val="24"/>
          <w:szCs w:val="24"/>
        </w:rPr>
        <w:t>年</w:t>
      </w:r>
      <w:r>
        <w:rPr>
          <w:rFonts w:hint="eastAsia" w:ascii="宋体" w:hAnsi="宋体"/>
          <w:sz w:val="24"/>
          <w:szCs w:val="24"/>
          <w:lang w:val="en-US" w:eastAsia="zh-CN"/>
        </w:rPr>
        <w:t>4</w:t>
      </w:r>
      <w:r>
        <w:rPr>
          <w:rFonts w:hint="eastAsia" w:ascii="宋体" w:hAnsi="宋体"/>
          <w:sz w:val="24"/>
          <w:szCs w:val="24"/>
        </w:rPr>
        <w:t>月</w:t>
      </w:r>
      <w:r>
        <w:rPr>
          <w:rFonts w:hint="eastAsia" w:ascii="宋体" w:hAnsi="宋体"/>
          <w:sz w:val="24"/>
          <w:szCs w:val="24"/>
          <w:lang w:val="en-US" w:eastAsia="zh-CN"/>
        </w:rPr>
        <w:t>26</w:t>
      </w:r>
      <w:r>
        <w:rPr>
          <w:rFonts w:hint="eastAsia" w:ascii="宋体" w:hAnsi="宋体"/>
          <w:sz w:val="24"/>
          <w:szCs w:val="24"/>
        </w:rPr>
        <w:t>日1</w:t>
      </w:r>
      <w:r>
        <w:rPr>
          <w:rFonts w:hint="eastAsia" w:ascii="宋体" w:hAnsi="宋体"/>
          <w:sz w:val="24"/>
          <w:szCs w:val="24"/>
          <w:lang w:val="en-US" w:eastAsia="zh-CN"/>
        </w:rPr>
        <w:t>2</w:t>
      </w:r>
      <w:r>
        <w:rPr>
          <w:rFonts w:hint="eastAsia" w:ascii="宋体" w:hAnsi="宋体"/>
          <w:sz w:val="24"/>
          <w:szCs w:val="24"/>
        </w:rPr>
        <w:t>：</w:t>
      </w:r>
      <w:r>
        <w:rPr>
          <w:rFonts w:hint="eastAsia" w:ascii="宋体" w:hAnsi="宋体"/>
          <w:sz w:val="24"/>
          <w:szCs w:val="24"/>
          <w:lang w:val="en-US" w:eastAsia="zh-CN"/>
        </w:rPr>
        <w:t>0</w:t>
      </w:r>
      <w:r>
        <w:rPr>
          <w:rFonts w:hint="eastAsia" w:ascii="宋体" w:hAnsi="宋体"/>
          <w:sz w:val="24"/>
          <w:szCs w:val="24"/>
        </w:rPr>
        <w:t>0。</w:t>
      </w:r>
      <w:bookmarkStart w:id="0" w:name="_GoBack"/>
      <w:bookmarkEnd w:id="0"/>
    </w:p>
    <w:p>
      <w:pPr>
        <w:spacing w:line="360" w:lineRule="auto"/>
        <w:ind w:firstLine="480" w:firstLineChars="200"/>
        <w:rPr>
          <w:rFonts w:ascii="宋体" w:hAnsi="宋体"/>
          <w:sz w:val="24"/>
          <w:szCs w:val="24"/>
        </w:rPr>
      </w:pPr>
      <w:r>
        <w:rPr>
          <w:rFonts w:hint="eastAsia" w:ascii="宋体" w:hAnsi="宋体"/>
          <w:sz w:val="24"/>
          <w:szCs w:val="24"/>
        </w:rPr>
        <w:t>一、竞价要求</w:t>
      </w:r>
    </w:p>
    <w:p>
      <w:pPr>
        <w:spacing w:line="360" w:lineRule="auto"/>
        <w:ind w:firstLine="480" w:firstLineChars="200"/>
        <w:rPr>
          <w:rFonts w:ascii="宋体" w:hAnsi="宋体"/>
          <w:sz w:val="24"/>
          <w:szCs w:val="24"/>
        </w:rPr>
      </w:pPr>
      <w:r>
        <w:rPr>
          <w:rFonts w:hint="eastAsia" w:ascii="宋体" w:hAnsi="宋体"/>
          <w:sz w:val="24"/>
          <w:szCs w:val="24"/>
        </w:rPr>
        <w:t>(一)竞价方要求</w:t>
      </w:r>
    </w:p>
    <w:p>
      <w:pPr>
        <w:spacing w:line="360" w:lineRule="auto"/>
        <w:ind w:firstLine="480" w:firstLineChars="200"/>
        <w:rPr>
          <w:rFonts w:ascii="宋体" w:hAnsi="宋体"/>
          <w:sz w:val="24"/>
          <w:szCs w:val="24"/>
        </w:rPr>
      </w:pPr>
      <w:r>
        <w:rPr>
          <w:rFonts w:hint="eastAsia" w:ascii="宋体" w:hAnsi="宋体"/>
          <w:sz w:val="24"/>
          <w:szCs w:val="24"/>
        </w:rPr>
        <w:t>1、具备法人资格，能够独立承担民事责任。</w:t>
      </w:r>
    </w:p>
    <w:p>
      <w:pPr>
        <w:spacing w:line="360" w:lineRule="auto"/>
        <w:ind w:firstLine="480" w:firstLineChars="200"/>
        <w:rPr>
          <w:rFonts w:ascii="宋体" w:hAnsi="宋体"/>
          <w:sz w:val="24"/>
          <w:szCs w:val="24"/>
        </w:rPr>
      </w:pPr>
      <w:r>
        <w:rPr>
          <w:rFonts w:hint="eastAsia" w:ascii="宋体" w:hAnsi="宋体"/>
          <w:sz w:val="24"/>
          <w:szCs w:val="24"/>
        </w:rPr>
        <w:t>2、具有合法有效的运营资质以及良好的银行资信、商业信誉，没有处于被责令停业和财产被接管、冻结、破产等情况；</w:t>
      </w:r>
      <w:r>
        <w:rPr>
          <w:rFonts w:hint="eastAsia" w:ascii="宋体" w:hAnsi="宋体"/>
          <w:b/>
          <w:bCs/>
          <w:color w:val="0070C0"/>
          <w:sz w:val="24"/>
          <w:szCs w:val="24"/>
          <w:lang w:eastAsia="zh-CN"/>
        </w:rPr>
        <w:t>注册资金</w:t>
      </w:r>
      <w:r>
        <w:rPr>
          <w:rFonts w:hint="eastAsia" w:ascii="宋体" w:hAnsi="宋体"/>
          <w:sz w:val="24"/>
          <w:szCs w:val="24"/>
        </w:rPr>
        <w:t>达到</w:t>
      </w:r>
      <w:r>
        <w:rPr>
          <w:rFonts w:hint="eastAsia" w:ascii="宋体" w:hAnsi="宋体"/>
          <w:b/>
          <w:bCs/>
          <w:color w:val="FF0000"/>
          <w:sz w:val="24"/>
          <w:szCs w:val="24"/>
        </w:rPr>
        <w:t>伍佰万</w:t>
      </w:r>
      <w:r>
        <w:rPr>
          <w:rFonts w:hint="eastAsia" w:ascii="宋体" w:hAnsi="宋体"/>
          <w:sz w:val="24"/>
          <w:szCs w:val="24"/>
        </w:rPr>
        <w:t>及以上；</w:t>
      </w:r>
      <w:r>
        <w:rPr>
          <w:rFonts w:hint="eastAsia" w:ascii="宋体" w:hAnsi="宋体"/>
          <w:sz w:val="24"/>
        </w:rPr>
        <w:t>营业执照原件上</w:t>
      </w:r>
      <w:r>
        <w:rPr>
          <w:rFonts w:hint="eastAsia" w:ascii="宋体" w:hAnsi="宋体"/>
          <w:sz w:val="24"/>
          <w:lang w:eastAsia="zh-CN"/>
        </w:rPr>
        <w:t>经营范围</w:t>
      </w:r>
      <w:r>
        <w:rPr>
          <w:rFonts w:hint="eastAsia" w:ascii="宋体" w:hAnsi="宋体"/>
          <w:sz w:val="24"/>
        </w:rPr>
        <w:t>明确包含</w:t>
      </w:r>
      <w:r>
        <w:rPr>
          <w:rFonts w:hint="eastAsia" w:ascii="宋体" w:hAnsi="宋体"/>
          <w:b/>
          <w:bCs/>
          <w:color w:val="FF0000"/>
          <w:sz w:val="24"/>
          <w:szCs w:val="24"/>
        </w:rPr>
        <w:t>煤炭经营</w:t>
      </w:r>
      <w:r>
        <w:rPr>
          <w:rFonts w:hint="eastAsia" w:ascii="宋体" w:hAnsi="宋体"/>
          <w:sz w:val="24"/>
        </w:rPr>
        <w:t>的内容</w:t>
      </w:r>
      <w:r>
        <w:rPr>
          <w:rFonts w:hint="eastAsia" w:ascii="宋体" w:hAnsi="宋体"/>
          <w:sz w:val="24"/>
          <w:szCs w:val="24"/>
        </w:rPr>
        <w:t>。</w:t>
      </w:r>
    </w:p>
    <w:p>
      <w:pPr>
        <w:spacing w:line="360" w:lineRule="auto"/>
        <w:ind w:firstLine="480" w:firstLineChars="200"/>
        <w:rPr>
          <w:rFonts w:ascii="宋体" w:hAnsi="宋体"/>
          <w:sz w:val="24"/>
          <w:szCs w:val="24"/>
        </w:rPr>
      </w:pPr>
      <w:r>
        <w:rPr>
          <w:rFonts w:hint="eastAsia" w:ascii="宋体" w:hAnsi="宋体"/>
          <w:sz w:val="24"/>
          <w:szCs w:val="24"/>
        </w:rPr>
        <w:t>3、具有可靠、稳定的煤炭来源。</w:t>
      </w:r>
    </w:p>
    <w:p>
      <w:pPr>
        <w:spacing w:line="360" w:lineRule="auto"/>
        <w:ind w:firstLine="480" w:firstLineChars="200"/>
        <w:rPr>
          <w:rFonts w:ascii="宋体" w:hAnsi="宋体"/>
          <w:sz w:val="24"/>
          <w:szCs w:val="24"/>
        </w:rPr>
      </w:pPr>
      <w:r>
        <w:rPr>
          <w:rFonts w:hint="eastAsia" w:ascii="宋体" w:hAnsi="宋体"/>
          <w:sz w:val="24"/>
          <w:szCs w:val="24"/>
        </w:rPr>
        <w:t>4、竞价方需遵守竞价规则，按要求提供运营</w:t>
      </w:r>
      <w:r>
        <w:rPr>
          <w:rFonts w:hint="eastAsia" w:ascii="宋体" w:hAnsi="宋体"/>
          <w:sz w:val="24"/>
          <w:szCs w:val="24"/>
          <w:lang w:eastAsia="zh-CN"/>
        </w:rPr>
        <w:t>资质</w:t>
      </w:r>
      <w:r>
        <w:rPr>
          <w:rFonts w:hint="eastAsia" w:ascii="宋体" w:hAnsi="宋体"/>
          <w:sz w:val="24"/>
          <w:szCs w:val="24"/>
        </w:rPr>
        <w:t>并保证全部真实、有效。</w:t>
      </w:r>
    </w:p>
    <w:p>
      <w:pPr>
        <w:spacing w:line="360" w:lineRule="auto"/>
        <w:ind w:firstLine="480" w:firstLineChars="200"/>
        <w:rPr>
          <w:rFonts w:ascii="宋体" w:hAnsi="宋体"/>
          <w:sz w:val="24"/>
          <w:szCs w:val="24"/>
        </w:rPr>
      </w:pPr>
      <w:r>
        <w:rPr>
          <w:rFonts w:hint="eastAsia" w:ascii="宋体" w:hAnsi="宋体"/>
          <w:sz w:val="24"/>
          <w:szCs w:val="24"/>
        </w:rPr>
        <w:t>（二）纪律要求</w:t>
      </w:r>
    </w:p>
    <w:p>
      <w:pPr>
        <w:spacing w:line="360" w:lineRule="auto"/>
        <w:ind w:firstLine="480" w:firstLineChars="200"/>
        <w:rPr>
          <w:rFonts w:ascii="宋体" w:hAnsi="宋体"/>
          <w:sz w:val="24"/>
          <w:szCs w:val="24"/>
        </w:rPr>
      </w:pPr>
      <w:r>
        <w:rPr>
          <w:rFonts w:hint="eastAsia" w:ascii="宋体" w:hAnsi="宋体"/>
          <w:sz w:val="24"/>
          <w:szCs w:val="24"/>
        </w:rPr>
        <w:t>1、采购方和竞价方工作人员应遵守国家有关的法律、法规和规定，严格遵守竞价的各项规定。</w:t>
      </w:r>
    </w:p>
    <w:p>
      <w:pPr>
        <w:spacing w:line="360" w:lineRule="auto"/>
        <w:ind w:firstLine="480" w:firstLineChars="200"/>
        <w:rPr>
          <w:rFonts w:ascii="宋体" w:hAnsi="宋体"/>
          <w:sz w:val="24"/>
          <w:szCs w:val="24"/>
        </w:rPr>
      </w:pPr>
      <w:r>
        <w:rPr>
          <w:rFonts w:hint="eastAsia" w:ascii="宋体" w:hAnsi="宋体"/>
          <w:sz w:val="24"/>
          <w:szCs w:val="24"/>
        </w:rPr>
        <w:t>2、竞价方不得相互串通，弄虚作假，不得以任何形式打探和搜集竞价情况，干扰竞价工作。</w:t>
      </w:r>
    </w:p>
    <w:p>
      <w:pPr>
        <w:spacing w:line="360" w:lineRule="auto"/>
        <w:ind w:firstLine="480" w:firstLineChars="200"/>
        <w:rPr>
          <w:rFonts w:ascii="宋体" w:hAnsi="宋体"/>
          <w:sz w:val="24"/>
          <w:szCs w:val="24"/>
        </w:rPr>
      </w:pPr>
      <w:r>
        <w:rPr>
          <w:rFonts w:hint="eastAsia" w:ascii="宋体" w:hAnsi="宋体"/>
          <w:sz w:val="24"/>
          <w:szCs w:val="24"/>
        </w:rPr>
        <w:t>3、竞价期间严禁竞价方与采购方工作人员私下接触；严禁损害国家利益、社会公共利益或者他人利益；严禁竞价方以任何方式向采购方相关人员谋取竞价信息。</w:t>
      </w:r>
    </w:p>
    <w:p>
      <w:pPr>
        <w:spacing w:line="360" w:lineRule="auto"/>
        <w:ind w:firstLine="480" w:firstLineChars="200"/>
        <w:rPr>
          <w:rFonts w:ascii="宋体" w:hAnsi="宋体"/>
          <w:sz w:val="24"/>
          <w:szCs w:val="24"/>
        </w:rPr>
      </w:pPr>
      <w:r>
        <w:rPr>
          <w:rFonts w:hint="eastAsia" w:ascii="宋体" w:hAnsi="宋体"/>
          <w:sz w:val="24"/>
          <w:szCs w:val="24"/>
        </w:rPr>
        <w:t>4、竞价方如违反上述有关纪律，采购方有权取消其参与当期竞价的资格。</w:t>
      </w:r>
    </w:p>
    <w:p>
      <w:pPr>
        <w:spacing w:line="360" w:lineRule="auto"/>
        <w:ind w:firstLine="480" w:firstLineChars="200"/>
        <w:rPr>
          <w:rFonts w:ascii="宋体" w:hAnsi="宋体"/>
          <w:sz w:val="24"/>
          <w:szCs w:val="24"/>
        </w:rPr>
      </w:pPr>
      <w:r>
        <w:rPr>
          <w:rFonts w:hint="eastAsia" w:ascii="宋体" w:hAnsi="宋体"/>
          <w:sz w:val="24"/>
          <w:szCs w:val="24"/>
        </w:rPr>
        <w:t>二、煤质要求（以采购方到厂验收为准）：</w:t>
      </w:r>
    </w:p>
    <w:tbl>
      <w:tblPr>
        <w:tblStyle w:val="10"/>
        <w:tblW w:w="80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672"/>
        <w:gridCol w:w="2547"/>
        <w:gridCol w:w="1155"/>
        <w:gridCol w:w="2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528" w:hRule="atLeast"/>
        </w:trPr>
        <w:tc>
          <w:tcPr>
            <w:tcW w:w="1672"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项目</w:t>
            </w:r>
          </w:p>
        </w:tc>
        <w:tc>
          <w:tcPr>
            <w:tcW w:w="2547"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基准</w:t>
            </w:r>
          </w:p>
        </w:tc>
        <w:tc>
          <w:tcPr>
            <w:tcW w:w="1155"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单位</w:t>
            </w:r>
          </w:p>
        </w:tc>
        <w:tc>
          <w:tcPr>
            <w:tcW w:w="2721" w:type="dxa"/>
            <w:shd w:val="clear" w:color="auto" w:fill="FFFFFF"/>
            <w:vAlign w:val="center"/>
          </w:tcPr>
          <w:p>
            <w:pPr>
              <w:widowControl/>
              <w:jc w:val="center"/>
              <w:textAlignment w:val="center"/>
              <w:rPr>
                <w:rFonts w:ascii="宋体" w:hAnsi="宋体" w:cs="宋体"/>
                <w:sz w:val="24"/>
              </w:rPr>
            </w:pPr>
            <w:r>
              <w:rPr>
                <w:rFonts w:hint="eastAsia" w:ascii="宋体" w:hAnsi="宋体" w:cs="宋体"/>
                <w:sz w:val="24"/>
              </w:rPr>
              <w:t>指标（</w:t>
            </w:r>
            <w:r>
              <w:rPr>
                <w:rFonts w:hint="eastAsia" w:ascii="宋体" w:hAnsi="宋体" w:cs="宋体"/>
                <w:kern w:val="0"/>
                <w:sz w:val="24"/>
              </w:rPr>
              <w:t>合同执行期内加权）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25" w:hRule="atLeast"/>
        </w:trPr>
        <w:tc>
          <w:tcPr>
            <w:tcW w:w="1672"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低位热值</w:t>
            </w:r>
          </w:p>
        </w:tc>
        <w:tc>
          <w:tcPr>
            <w:tcW w:w="2547"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收到基</w:t>
            </w:r>
            <w:r>
              <w:rPr>
                <w:rFonts w:hint="eastAsia" w:ascii="宋体" w:hAnsi="宋体" w:cs="宋体"/>
                <w:kern w:val="0"/>
                <w:sz w:val="24"/>
                <w:u w:val="single"/>
              </w:rPr>
              <w:t>Qnet,ar</w:t>
            </w:r>
          </w:p>
        </w:tc>
        <w:tc>
          <w:tcPr>
            <w:tcW w:w="1155" w:type="dxa"/>
            <w:shd w:val="clear" w:color="auto" w:fill="FFFFFF"/>
            <w:vAlign w:val="center"/>
          </w:tcPr>
          <w:p>
            <w:pPr>
              <w:widowControl/>
              <w:jc w:val="center"/>
              <w:textAlignment w:val="center"/>
              <w:rPr>
                <w:rFonts w:hint="eastAsia" w:ascii="宋体" w:hAnsi="宋体" w:cs="宋体" w:eastAsiaTheme="minorEastAsia"/>
                <w:sz w:val="24"/>
                <w:lang w:eastAsia="zh-CN"/>
              </w:rPr>
            </w:pPr>
            <w:r>
              <w:rPr>
                <w:rFonts w:hint="eastAsia" w:ascii="宋体" w:hAnsi="宋体" w:cs="宋体"/>
                <w:kern w:val="0"/>
                <w:sz w:val="24"/>
                <w:lang w:eastAsia="zh-CN"/>
              </w:rPr>
              <w:t>大卡</w:t>
            </w:r>
          </w:p>
        </w:tc>
        <w:tc>
          <w:tcPr>
            <w:tcW w:w="2721" w:type="dxa"/>
            <w:shd w:val="clear" w:color="auto" w:fill="FFFFFF"/>
            <w:vAlign w:val="center"/>
          </w:tcPr>
          <w:p>
            <w:pPr>
              <w:widowControl/>
              <w:textAlignment w:val="center"/>
              <w:rPr>
                <w:rFonts w:ascii="宋体" w:hAnsi="宋体" w:cs="宋体"/>
                <w:kern w:val="0"/>
                <w:sz w:val="24"/>
              </w:rPr>
            </w:pPr>
            <w:r>
              <w:rPr>
                <w:rFonts w:hint="eastAsia" w:ascii="宋体" w:hAnsi="宋体" w:cs="宋体"/>
                <w:kern w:val="0"/>
                <w:sz w:val="24"/>
                <w:lang w:val="en-US" w:eastAsia="zh-CN"/>
              </w:rPr>
              <w:t xml:space="preserve">    </w:t>
            </w:r>
            <w:r>
              <w:rPr>
                <w:rFonts w:hint="eastAsia" w:ascii="宋体" w:hAnsi="宋体" w:cs="宋体"/>
                <w:kern w:val="0"/>
                <w:sz w:val="24"/>
              </w:rPr>
              <w:t>＞5000</w:t>
            </w:r>
            <w:r>
              <w:rPr>
                <w:rFonts w:hint="eastAsia" w:ascii="宋体" w:hAnsi="宋体" w:cs="宋体"/>
                <w:kern w:val="0"/>
                <w:sz w:val="24"/>
                <w:lang w:eastAsia="zh-CN"/>
              </w:rPr>
              <w:t>大卡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38" w:hRule="atLeast"/>
        </w:trPr>
        <w:tc>
          <w:tcPr>
            <w:tcW w:w="1672"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全硫</w:t>
            </w:r>
          </w:p>
        </w:tc>
        <w:tc>
          <w:tcPr>
            <w:tcW w:w="2547"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干燥基</w:t>
            </w:r>
            <w:r>
              <w:rPr>
                <w:rFonts w:hint="eastAsia" w:ascii="宋体" w:hAnsi="宋体" w:cs="宋体"/>
                <w:kern w:val="0"/>
                <w:sz w:val="24"/>
                <w:u w:val="single"/>
              </w:rPr>
              <w:t>St,d</w:t>
            </w:r>
          </w:p>
        </w:tc>
        <w:tc>
          <w:tcPr>
            <w:tcW w:w="1155"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w:t>
            </w:r>
          </w:p>
        </w:tc>
        <w:tc>
          <w:tcPr>
            <w:tcW w:w="2721" w:type="dxa"/>
            <w:shd w:val="clear" w:color="auto" w:fill="FFFFFF"/>
            <w:vAlign w:val="center"/>
          </w:tcPr>
          <w:p>
            <w:pPr>
              <w:widowControl/>
              <w:jc w:val="center"/>
              <w:textAlignment w:val="center"/>
              <w:rPr>
                <w:rFonts w:ascii="宋体" w:hAnsi="宋体" w:cs="宋体"/>
                <w:kern w:val="0"/>
                <w:sz w:val="24"/>
              </w:rPr>
            </w:pPr>
            <w:r>
              <w:rPr>
                <w:rFonts w:hint="eastAsia" w:ascii="宋体" w:hAnsi="宋体" w:cs="宋体"/>
                <w:kern w:val="0"/>
                <w:sz w:val="24"/>
              </w:rPr>
              <w:t>＞3.5%开始考核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15" w:hRule="atLeast"/>
        </w:trPr>
        <w:tc>
          <w:tcPr>
            <w:tcW w:w="1672"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挥发分</w:t>
            </w:r>
          </w:p>
        </w:tc>
        <w:tc>
          <w:tcPr>
            <w:tcW w:w="2547"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干燥无灰基</w:t>
            </w:r>
            <w:r>
              <w:rPr>
                <w:rFonts w:hint="eastAsia" w:ascii="宋体" w:hAnsi="宋体" w:cs="宋体"/>
                <w:kern w:val="0"/>
                <w:sz w:val="24"/>
                <w:u w:val="single"/>
              </w:rPr>
              <w:t>Vdaf</w:t>
            </w:r>
          </w:p>
        </w:tc>
        <w:tc>
          <w:tcPr>
            <w:tcW w:w="1155"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w:t>
            </w:r>
          </w:p>
        </w:tc>
        <w:tc>
          <w:tcPr>
            <w:tcW w:w="2721" w:type="dxa"/>
            <w:shd w:val="clear" w:color="auto" w:fill="FFFFFF"/>
            <w:vAlign w:val="center"/>
          </w:tcPr>
          <w:p>
            <w:pPr>
              <w:widowControl/>
              <w:jc w:val="both"/>
              <w:textAlignment w:val="center"/>
              <w:rPr>
                <w:rFonts w:ascii="宋体" w:hAnsi="宋体" w:cs="宋体"/>
                <w:kern w:val="0"/>
                <w:sz w:val="24"/>
              </w:rPr>
            </w:pPr>
            <w:r>
              <w:rPr>
                <w:rFonts w:hint="eastAsia" w:ascii="宋体" w:hAnsi="宋体" w:cs="宋体"/>
                <w:kern w:val="0"/>
                <w:sz w:val="24"/>
                <w:lang w:val="en-US" w:eastAsia="zh-CN"/>
              </w:rPr>
              <w:t xml:space="preserve">    </w:t>
            </w:r>
            <w:r>
              <w:rPr>
                <w:rFonts w:hint="eastAsia" w:ascii="宋体" w:hAnsi="宋体" w:cs="宋体"/>
                <w:kern w:val="0"/>
                <w:sz w:val="24"/>
              </w:rPr>
              <w:t>＜9%开始考核</w:t>
            </w:r>
          </w:p>
        </w:tc>
      </w:tr>
    </w:tbl>
    <w:p>
      <w:pPr>
        <w:spacing w:line="560" w:lineRule="exact"/>
        <w:ind w:firstLine="480" w:firstLineChars="200"/>
        <w:jc w:val="left"/>
        <w:rPr>
          <w:rFonts w:ascii="宋体" w:hAnsi="宋体"/>
          <w:sz w:val="24"/>
          <w:szCs w:val="24"/>
        </w:rPr>
      </w:pPr>
      <w:r>
        <w:rPr>
          <w:rFonts w:hint="eastAsia" w:ascii="宋体" w:hAnsi="宋体"/>
          <w:sz w:val="24"/>
          <w:szCs w:val="24"/>
        </w:rPr>
        <w:t>三、结算方式：一票结算/两票结算（请报价时备注清楚）。</w:t>
      </w:r>
    </w:p>
    <w:p>
      <w:pPr>
        <w:spacing w:line="560" w:lineRule="exact"/>
        <w:ind w:firstLine="480" w:firstLineChars="200"/>
        <w:jc w:val="left"/>
        <w:rPr>
          <w:rFonts w:ascii="宋体" w:hAnsi="宋体"/>
          <w:sz w:val="24"/>
          <w:szCs w:val="24"/>
        </w:rPr>
      </w:pPr>
      <w:r>
        <w:rPr>
          <w:rFonts w:hint="eastAsia" w:ascii="宋体" w:hAnsi="宋体"/>
          <w:sz w:val="24"/>
          <w:szCs w:val="24"/>
        </w:rPr>
        <w:t>四、</w:t>
      </w:r>
      <w:r>
        <w:rPr>
          <w:rFonts w:hint="eastAsia" w:ascii="宋体" w:hAnsi="宋体"/>
          <w:b/>
          <w:bCs/>
          <w:color w:val="FF0000"/>
          <w:sz w:val="24"/>
          <w:szCs w:val="24"/>
        </w:rPr>
        <w:t>报价</w:t>
      </w:r>
      <w:r>
        <w:rPr>
          <w:rFonts w:hint="eastAsia" w:ascii="宋体" w:hAnsi="宋体"/>
          <w:b/>
          <w:bCs/>
          <w:color w:val="FF0000"/>
          <w:sz w:val="24"/>
          <w:szCs w:val="24"/>
          <w:lang w:eastAsia="zh-CN"/>
        </w:rPr>
        <w:t>方式</w:t>
      </w:r>
      <w:r>
        <w:rPr>
          <w:rFonts w:hint="eastAsia" w:ascii="宋体" w:hAnsi="宋体"/>
          <w:b/>
          <w:bCs/>
          <w:color w:val="FF0000"/>
          <w:sz w:val="24"/>
          <w:szCs w:val="24"/>
        </w:rPr>
        <w:t>：</w:t>
      </w:r>
      <w:r>
        <w:rPr>
          <w:rFonts w:hint="eastAsia" w:ascii="宋体" w:hAnsi="宋体"/>
          <w:sz w:val="24"/>
          <w:szCs w:val="24"/>
          <w:lang w:eastAsia="zh-CN"/>
        </w:rPr>
        <w:t>正确填写</w:t>
      </w:r>
      <w:r>
        <w:rPr>
          <w:rFonts w:hint="eastAsia" w:ascii="宋体" w:hAnsi="宋体"/>
          <w:sz w:val="24"/>
          <w:szCs w:val="24"/>
        </w:rPr>
        <w:t>报价函（</w:t>
      </w:r>
      <w:r>
        <w:rPr>
          <w:rFonts w:hint="eastAsia" w:ascii="宋体" w:hAnsi="宋体"/>
          <w:b/>
          <w:bCs/>
          <w:color w:val="FF0000"/>
          <w:sz w:val="24"/>
          <w:szCs w:val="24"/>
        </w:rPr>
        <w:t>加盖公司公章并签字</w:t>
      </w:r>
      <w:r>
        <w:rPr>
          <w:rFonts w:hint="eastAsia" w:ascii="宋体" w:hAnsi="宋体"/>
          <w:sz w:val="24"/>
          <w:szCs w:val="24"/>
        </w:rPr>
        <w:t>）彩色扫描件（jpg格式）发</w:t>
      </w:r>
      <w:r>
        <w:rPr>
          <w:rFonts w:hint="eastAsia" w:ascii="宋体" w:hAnsi="宋体"/>
          <w:sz w:val="24"/>
          <w:szCs w:val="24"/>
          <w:lang w:eastAsia="zh-CN"/>
        </w:rPr>
        <w:t>送至</w:t>
      </w:r>
      <w:r>
        <w:rPr>
          <w:rFonts w:hint="eastAsia" w:ascii="宋体" w:hAnsi="宋体"/>
          <w:b/>
          <w:bCs/>
          <w:color w:val="FF0000"/>
          <w:sz w:val="24"/>
          <w:szCs w:val="24"/>
        </w:rPr>
        <w:t>报价专用邮箱</w:t>
      </w:r>
      <w:r>
        <w:rPr>
          <w:rFonts w:hint="eastAsia" w:ascii="宋体" w:hAnsi="宋体"/>
          <w:sz w:val="24"/>
          <w:szCs w:val="24"/>
        </w:rPr>
        <w:t>（</w:t>
      </w:r>
      <w:r>
        <w:fldChar w:fldCharType="begin"/>
      </w:r>
      <w:r>
        <w:instrText xml:space="preserve"> HYPERLINK "mailto:qdrmjj@wldl.com.cn" </w:instrText>
      </w:r>
      <w:r>
        <w:fldChar w:fldCharType="separate"/>
      </w:r>
      <w:r>
        <w:rPr>
          <w:rStyle w:val="9"/>
          <w:rFonts w:ascii="宋体" w:hAnsi="宋体" w:cs="宋体"/>
          <w:kern w:val="0"/>
          <w:sz w:val="24"/>
          <w:szCs w:val="24"/>
        </w:rPr>
        <w:t>qdrmjj@wldl.com.cn</w:t>
      </w:r>
      <w:r>
        <w:rPr>
          <w:rStyle w:val="9"/>
          <w:rFonts w:ascii="宋体" w:hAnsi="宋体" w:cs="宋体"/>
          <w:kern w:val="0"/>
          <w:sz w:val="24"/>
          <w:szCs w:val="24"/>
        </w:rPr>
        <w:fldChar w:fldCharType="end"/>
      </w:r>
      <w:r>
        <w:rPr>
          <w:rFonts w:hint="eastAsia" w:ascii="宋体" w:hAnsi="宋体"/>
          <w:sz w:val="24"/>
          <w:szCs w:val="24"/>
        </w:rPr>
        <w:t>），报价函模板见附件</w:t>
      </w:r>
      <w:r>
        <w:rPr>
          <w:rFonts w:hint="eastAsia" w:ascii="宋体" w:hAnsi="宋体"/>
          <w:color w:val="000000" w:themeColor="text1"/>
          <w:sz w:val="24"/>
          <w:szCs w:val="24"/>
          <w:lang w:eastAsia="zh-CN"/>
        </w:rPr>
        <w:t>。</w:t>
      </w:r>
      <w:r>
        <w:rPr>
          <w:rFonts w:hint="eastAsia" w:ascii="宋体" w:hAnsi="宋体"/>
          <w:color w:val="FF0000"/>
          <w:sz w:val="24"/>
          <w:szCs w:val="24"/>
          <w:lang w:eastAsia="zh-CN"/>
        </w:rPr>
        <w:t>（备注：由于我公司合同条款中除了煤质考核外，还有煤质偏差考核，所以报价时请考虑煤质</w:t>
      </w:r>
      <w:r>
        <w:rPr>
          <w:rFonts w:hint="eastAsia" w:ascii="宋体" w:hAnsi="宋体"/>
          <w:color w:val="FF0000"/>
          <w:sz w:val="24"/>
          <w:szCs w:val="24"/>
        </w:rPr>
        <w:t>偏差</w:t>
      </w:r>
      <w:r>
        <w:rPr>
          <w:rFonts w:hint="eastAsia" w:ascii="宋体" w:hAnsi="宋体"/>
          <w:color w:val="FF0000"/>
          <w:sz w:val="24"/>
          <w:szCs w:val="24"/>
          <w:lang w:eastAsia="zh-CN"/>
        </w:rPr>
        <w:t>考核后，煤炭指标尽量按照实际煤源加权后的指标情况进行填报）</w:t>
      </w:r>
    </w:p>
    <w:p>
      <w:pPr>
        <w:spacing w:line="560" w:lineRule="exact"/>
        <w:ind w:firstLine="480" w:firstLineChars="200"/>
        <w:jc w:val="left"/>
        <w:rPr>
          <w:rFonts w:ascii="宋体" w:hAnsi="宋体"/>
          <w:sz w:val="24"/>
          <w:szCs w:val="24"/>
        </w:rPr>
      </w:pPr>
      <w:r>
        <w:rPr>
          <w:rFonts w:hint="eastAsia" w:ascii="宋体" w:hAnsi="宋体"/>
          <w:sz w:val="24"/>
          <w:szCs w:val="24"/>
        </w:rPr>
        <w:t>五、履约保证金</w:t>
      </w:r>
    </w:p>
    <w:p>
      <w:pPr>
        <w:spacing w:line="360" w:lineRule="auto"/>
        <w:ind w:firstLine="480" w:firstLineChars="200"/>
        <w:rPr>
          <w:rFonts w:ascii="宋体" w:hAnsi="宋体"/>
          <w:sz w:val="24"/>
          <w:szCs w:val="24"/>
        </w:rPr>
      </w:pPr>
      <w:r>
        <w:rPr>
          <w:rFonts w:hint="eastAsia" w:ascii="宋体" w:hAnsi="宋体"/>
          <w:sz w:val="24"/>
          <w:szCs w:val="24"/>
        </w:rPr>
        <w:t>1、卖方需在签订合同前缴纳10万元履约保证金至买方账户，方能签订与履行合同。</w:t>
      </w:r>
    </w:p>
    <w:p>
      <w:pPr>
        <w:spacing w:line="360" w:lineRule="auto"/>
        <w:ind w:firstLine="480" w:firstLineChars="200"/>
        <w:rPr>
          <w:rFonts w:ascii="宋体" w:hAnsi="宋体"/>
          <w:sz w:val="24"/>
          <w:szCs w:val="24"/>
        </w:rPr>
      </w:pPr>
      <w:r>
        <w:rPr>
          <w:rFonts w:hint="eastAsia" w:ascii="宋体" w:hAnsi="宋体"/>
          <w:sz w:val="24"/>
          <w:szCs w:val="24"/>
        </w:rPr>
        <w:t>2、履约保证金账号信息：公司名称（贵州黔东电力有限公司）、开户行（工行岑巩支行）、账号（2407050829000015811）。</w:t>
      </w:r>
    </w:p>
    <w:p>
      <w:pPr>
        <w:spacing w:line="360" w:lineRule="auto"/>
        <w:ind w:firstLine="480" w:firstLineChars="200"/>
        <w:rPr>
          <w:rFonts w:ascii="宋体" w:hAnsi="宋体"/>
          <w:sz w:val="24"/>
          <w:szCs w:val="24"/>
        </w:rPr>
      </w:pPr>
      <w:r>
        <w:rPr>
          <w:rFonts w:hint="eastAsia" w:ascii="宋体" w:hAnsi="宋体"/>
          <w:sz w:val="24"/>
          <w:szCs w:val="24"/>
        </w:rPr>
        <w:t>3、合同执行期满，卖方实际供应量未达到合同约定量50%，扣除履约保证金。</w:t>
      </w:r>
    </w:p>
    <w:p>
      <w:pPr>
        <w:spacing w:line="360" w:lineRule="auto"/>
        <w:ind w:firstLine="480" w:firstLineChars="200"/>
        <w:rPr>
          <w:rFonts w:ascii="宋体" w:hAnsi="宋体"/>
          <w:sz w:val="24"/>
          <w:szCs w:val="24"/>
        </w:rPr>
      </w:pPr>
      <w:r>
        <w:rPr>
          <w:rFonts w:hint="eastAsia" w:ascii="宋体" w:hAnsi="宋体"/>
          <w:sz w:val="24"/>
          <w:szCs w:val="24"/>
        </w:rPr>
        <w:t>4、合同执行期满，卖方实际供应量达到合同约定量50%，转入下次合同使用，或申请返还。</w:t>
      </w:r>
    </w:p>
    <w:p>
      <w:pPr>
        <w:spacing w:line="360" w:lineRule="auto"/>
        <w:ind w:firstLine="480" w:firstLineChars="200"/>
        <w:rPr>
          <w:rFonts w:hint="eastAsia" w:ascii="宋体" w:hAnsi="宋体"/>
          <w:sz w:val="24"/>
          <w:szCs w:val="24"/>
        </w:rPr>
      </w:pPr>
      <w:r>
        <w:rPr>
          <w:rFonts w:hint="eastAsia" w:ascii="宋体" w:hAnsi="宋体"/>
          <w:sz w:val="24"/>
          <w:szCs w:val="24"/>
        </w:rPr>
        <w:t>六、未合作过或有资质信息变更的供应商报价时请提供三证复印件加盖鲜公章扫描件（jpg格式）发送至报价专用邮箱（</w:t>
      </w:r>
      <w:r>
        <w:rPr>
          <w:rFonts w:hint="eastAsia" w:ascii="宋体" w:hAnsi="宋体"/>
          <w:color w:val="FF0000"/>
          <w:sz w:val="24"/>
          <w:szCs w:val="24"/>
        </w:rPr>
        <w:t>营业执照</w:t>
      </w:r>
      <w:r>
        <w:rPr>
          <w:rFonts w:hint="eastAsia" w:ascii="宋体" w:hAnsi="宋体"/>
          <w:color w:val="FF0000"/>
          <w:sz w:val="24"/>
          <w:szCs w:val="24"/>
          <w:lang w:eastAsia="zh-CN"/>
        </w:rPr>
        <w:t>副本</w:t>
      </w:r>
      <w:r>
        <w:rPr>
          <w:rFonts w:hint="eastAsia" w:ascii="宋体" w:hAnsi="宋体"/>
          <w:color w:val="FF0000"/>
          <w:sz w:val="24"/>
          <w:szCs w:val="24"/>
        </w:rPr>
        <w:t>、开户许可证</w:t>
      </w:r>
      <w:r>
        <w:rPr>
          <w:rFonts w:hint="eastAsia" w:ascii="宋体" w:hAnsi="宋体"/>
          <w:color w:val="FF0000"/>
          <w:sz w:val="24"/>
          <w:szCs w:val="24"/>
          <w:lang w:eastAsia="zh-CN"/>
        </w:rPr>
        <w:t>或基本存款账户信息</w:t>
      </w:r>
      <w:r>
        <w:rPr>
          <w:rFonts w:hint="eastAsia" w:ascii="宋体" w:hAnsi="宋体"/>
          <w:color w:val="FF0000"/>
          <w:sz w:val="24"/>
          <w:szCs w:val="24"/>
        </w:rPr>
        <w:t>、法人身份证</w:t>
      </w:r>
      <w:r>
        <w:rPr>
          <w:rFonts w:hint="eastAsia" w:ascii="宋体" w:hAnsi="宋体"/>
          <w:sz w:val="24"/>
          <w:szCs w:val="24"/>
        </w:rPr>
        <w:t>）。</w:t>
      </w:r>
    </w:p>
    <w:p>
      <w:pPr>
        <w:spacing w:line="360" w:lineRule="auto"/>
        <w:ind w:firstLine="480" w:firstLineChars="200"/>
        <w:rPr>
          <w:rFonts w:hint="eastAsia" w:ascii="宋体" w:hAnsi="宋体"/>
          <w:sz w:val="24"/>
          <w:szCs w:val="24"/>
          <w:lang w:eastAsia="zh-CN"/>
        </w:rPr>
      </w:pPr>
      <w:r>
        <w:rPr>
          <w:rFonts w:hint="eastAsia" w:ascii="宋体" w:hAnsi="宋体"/>
          <w:sz w:val="24"/>
          <w:szCs w:val="24"/>
          <w:lang w:eastAsia="zh-CN"/>
        </w:rPr>
        <w:t>七、未合作过的供应商</w:t>
      </w:r>
      <w:r>
        <w:rPr>
          <w:rFonts w:hint="eastAsia" w:ascii="宋体" w:hAnsi="宋体"/>
          <w:b/>
          <w:bCs/>
          <w:color w:val="FF0000"/>
          <w:sz w:val="24"/>
          <w:szCs w:val="24"/>
          <w:lang w:eastAsia="zh-CN"/>
        </w:rPr>
        <w:t>先完成报价函发送后</w:t>
      </w:r>
      <w:r>
        <w:rPr>
          <w:rFonts w:hint="eastAsia" w:ascii="宋体" w:hAnsi="宋体"/>
          <w:sz w:val="24"/>
          <w:szCs w:val="24"/>
          <w:lang w:eastAsia="zh-CN"/>
        </w:rPr>
        <w:t>，请安排专人进入中国电力设备信息网（</w:t>
      </w:r>
      <w:r>
        <w:rPr>
          <w:rFonts w:hint="eastAsia" w:ascii="宋体" w:hAnsi="宋体"/>
          <w:sz w:val="24"/>
          <w:szCs w:val="24"/>
          <w:lang w:eastAsia="zh-CN"/>
        </w:rPr>
        <w:fldChar w:fldCharType="begin"/>
      </w:r>
      <w:r>
        <w:rPr>
          <w:rFonts w:hint="eastAsia" w:ascii="宋体" w:hAnsi="宋体"/>
          <w:sz w:val="24"/>
          <w:szCs w:val="24"/>
          <w:lang w:eastAsia="zh-CN"/>
        </w:rPr>
        <w:instrText xml:space="preserve"> HYPERLINK "http://www.cpeinet.com.cn/" \t "http://127.0.0.1:33001/desktop.html" \l "/conversation/1/_blank" </w:instrText>
      </w:r>
      <w:r>
        <w:rPr>
          <w:rFonts w:hint="eastAsia" w:ascii="宋体" w:hAnsi="宋体"/>
          <w:sz w:val="24"/>
          <w:szCs w:val="24"/>
          <w:lang w:eastAsia="zh-CN"/>
        </w:rPr>
        <w:fldChar w:fldCharType="separate"/>
      </w:r>
      <w:r>
        <w:rPr>
          <w:rFonts w:hint="eastAsia" w:ascii="宋体" w:hAnsi="宋体"/>
          <w:sz w:val="24"/>
          <w:szCs w:val="24"/>
          <w:lang w:eastAsia="zh-CN"/>
        </w:rPr>
        <w:t>http://www.cpeinet.com.cn</w:t>
      </w:r>
      <w:r>
        <w:rPr>
          <w:rFonts w:hint="eastAsia" w:ascii="宋体" w:hAnsi="宋体"/>
          <w:sz w:val="24"/>
          <w:szCs w:val="24"/>
          <w:lang w:eastAsia="zh-CN"/>
        </w:rPr>
        <w:fldChar w:fldCharType="end"/>
      </w:r>
      <w:r>
        <w:rPr>
          <w:rFonts w:hint="eastAsia" w:ascii="宋体" w:hAnsi="宋体"/>
          <w:sz w:val="24"/>
          <w:szCs w:val="24"/>
          <w:lang w:eastAsia="zh-CN"/>
        </w:rPr>
        <w:t>）提前完成供应商注册。</w:t>
      </w:r>
    </w:p>
    <w:p>
      <w:pPr>
        <w:spacing w:line="360" w:lineRule="auto"/>
        <w:ind w:firstLine="480" w:firstLineChars="200"/>
        <w:rPr>
          <w:rFonts w:hint="eastAsia" w:ascii="宋体" w:hAnsi="宋体"/>
          <w:sz w:val="24"/>
          <w:szCs w:val="24"/>
          <w:lang w:val="en-US" w:eastAsia="zh-CN"/>
        </w:rPr>
      </w:pPr>
      <w:r>
        <w:rPr>
          <w:rFonts w:hint="eastAsia" w:ascii="宋体" w:hAnsi="宋体"/>
          <w:sz w:val="24"/>
          <w:szCs w:val="24"/>
          <w:lang w:val="en-US" w:eastAsia="zh-CN"/>
        </w:rPr>
        <w:t>1、</w:t>
      </w:r>
      <w:r>
        <w:rPr>
          <w:rFonts w:hint="eastAsia" w:ascii="宋体" w:hAnsi="宋体"/>
          <w:sz w:val="24"/>
          <w:szCs w:val="24"/>
          <w:lang w:eastAsia="zh-CN"/>
        </w:rPr>
        <w:t>注册步骤查找：进入网站</w:t>
      </w:r>
      <w:r>
        <w:rPr>
          <w:rFonts w:hint="eastAsia" w:ascii="宋体" w:hAnsi="宋体"/>
          <w:sz w:val="24"/>
          <w:szCs w:val="24"/>
          <w:lang w:val="en-US" w:eastAsia="zh-CN"/>
        </w:rPr>
        <w:t>--</w:t>
      </w:r>
      <w:r>
        <w:rPr>
          <w:rFonts w:hint="eastAsia" w:ascii="宋体" w:hAnsi="宋体"/>
          <w:sz w:val="24"/>
          <w:szCs w:val="24"/>
          <w:lang w:eastAsia="zh-CN"/>
        </w:rPr>
        <w:t>左边</w:t>
      </w:r>
      <w:r>
        <w:rPr>
          <w:rFonts w:hint="eastAsia" w:ascii="宋体" w:hAnsi="宋体"/>
          <w:sz w:val="24"/>
          <w:szCs w:val="24"/>
          <w:lang w:val="en-US" w:eastAsia="zh-CN"/>
        </w:rPr>
        <w:t xml:space="preserve">点击操作说明--注册与登录--注册网员。   </w:t>
      </w:r>
    </w:p>
    <w:p>
      <w:pPr>
        <w:spacing w:line="360" w:lineRule="auto"/>
        <w:ind w:firstLine="480" w:firstLineChars="200"/>
        <w:rPr>
          <w:rFonts w:hint="eastAsia" w:ascii="宋体" w:hAnsi="宋体"/>
          <w:b w:val="0"/>
          <w:bCs w:val="0"/>
          <w:color w:val="auto"/>
          <w:sz w:val="24"/>
          <w:szCs w:val="24"/>
          <w:lang w:eastAsia="zh-CN"/>
        </w:rPr>
      </w:pPr>
      <w:r>
        <w:rPr>
          <w:rFonts w:hint="eastAsia" w:ascii="宋体" w:hAnsi="宋体"/>
          <w:sz w:val="24"/>
          <w:szCs w:val="24"/>
          <w:lang w:val="en-US" w:eastAsia="zh-CN"/>
        </w:rPr>
        <w:t>2、开始注册：返回首页--左边点击供应商注册--按照查找的步骤完成注册提交，</w:t>
      </w:r>
      <w:r>
        <w:rPr>
          <w:rFonts w:hint="eastAsia" w:ascii="宋体" w:hAnsi="宋体"/>
          <w:sz w:val="24"/>
          <w:szCs w:val="24"/>
          <w:lang w:eastAsia="zh-CN"/>
        </w:rPr>
        <w:t>收到审核通过的信息为注册成功。</w:t>
      </w:r>
      <w:r>
        <w:rPr>
          <w:rFonts w:hint="eastAsia" w:ascii="宋体" w:hAnsi="宋体"/>
          <w:sz w:val="24"/>
          <w:szCs w:val="24"/>
          <w:lang w:val="en-US" w:eastAsia="zh-CN"/>
        </w:rPr>
        <w:t>（特别提醒：注册过程中选择</w:t>
      </w:r>
      <w:r>
        <w:rPr>
          <w:rFonts w:hint="eastAsia" w:ascii="宋体" w:hAnsi="宋体"/>
          <w:b/>
          <w:bCs/>
          <w:color w:val="FF0000"/>
          <w:sz w:val="24"/>
          <w:szCs w:val="24"/>
          <w:lang w:val="en-US" w:eastAsia="zh-CN"/>
        </w:rPr>
        <w:t>C类网员</w:t>
      </w:r>
      <w:r>
        <w:rPr>
          <w:rFonts w:hint="eastAsia" w:ascii="宋体" w:hAnsi="宋体"/>
          <w:b/>
          <w:bCs/>
          <w:sz w:val="24"/>
          <w:szCs w:val="24"/>
          <w:lang w:val="en-US" w:eastAsia="zh-CN"/>
        </w:rPr>
        <w:t>无需交费</w:t>
      </w:r>
      <w:r>
        <w:rPr>
          <w:rFonts w:hint="eastAsia" w:ascii="宋体" w:hAnsi="宋体"/>
          <w:sz w:val="24"/>
          <w:szCs w:val="24"/>
          <w:lang w:val="en-US" w:eastAsia="zh-CN"/>
        </w:rPr>
        <w:t>；</w:t>
      </w:r>
      <w:r>
        <w:rPr>
          <w:rFonts w:hint="eastAsia" w:ascii="宋体" w:hAnsi="宋体"/>
          <w:b/>
          <w:bCs/>
          <w:color w:val="FF0000"/>
          <w:sz w:val="24"/>
          <w:szCs w:val="24"/>
          <w:lang w:val="en-US" w:eastAsia="zh-CN"/>
        </w:rPr>
        <w:t>注册成功与否不影响报价，</w:t>
      </w:r>
      <w:r>
        <w:rPr>
          <w:rFonts w:hint="eastAsia" w:ascii="宋体" w:hAnsi="宋体"/>
          <w:b w:val="0"/>
          <w:bCs w:val="0"/>
          <w:color w:val="auto"/>
          <w:sz w:val="24"/>
          <w:szCs w:val="24"/>
          <w:lang w:val="en-US" w:eastAsia="zh-CN"/>
        </w:rPr>
        <w:t>务必</w:t>
      </w:r>
      <w:r>
        <w:rPr>
          <w:rFonts w:hint="eastAsia" w:ascii="宋体" w:hAnsi="宋体"/>
          <w:b/>
          <w:bCs/>
          <w:color w:val="FF0000"/>
          <w:sz w:val="24"/>
          <w:szCs w:val="24"/>
          <w:lang w:val="en-US" w:eastAsia="zh-CN"/>
        </w:rPr>
        <w:t>先发送报价函扫描件至报价专用邮箱后</w:t>
      </w:r>
      <w:r>
        <w:rPr>
          <w:rFonts w:hint="eastAsia" w:ascii="宋体" w:hAnsi="宋体"/>
          <w:b w:val="0"/>
          <w:bCs w:val="0"/>
          <w:color w:val="auto"/>
          <w:sz w:val="24"/>
          <w:szCs w:val="24"/>
          <w:lang w:val="en-US" w:eastAsia="zh-CN"/>
        </w:rPr>
        <w:t>再进行注册）</w:t>
      </w:r>
    </w:p>
    <w:p>
      <w:pPr>
        <w:spacing w:line="360" w:lineRule="auto"/>
        <w:ind w:firstLine="480" w:firstLineChars="200"/>
        <w:rPr>
          <w:rFonts w:ascii="宋体" w:hAnsi="宋体"/>
          <w:sz w:val="24"/>
          <w:szCs w:val="24"/>
        </w:rPr>
      </w:pPr>
      <w:r>
        <w:rPr>
          <w:rFonts w:hint="eastAsia" w:ascii="宋体" w:hAnsi="宋体"/>
          <w:sz w:val="24"/>
          <w:szCs w:val="24"/>
          <w:lang w:eastAsia="zh-CN"/>
        </w:rPr>
        <w:t>八</w:t>
      </w:r>
      <w:r>
        <w:rPr>
          <w:rFonts w:hint="eastAsia" w:ascii="宋体" w:hAnsi="宋体"/>
          <w:sz w:val="24"/>
          <w:szCs w:val="24"/>
        </w:rPr>
        <w:t>、其他</w:t>
      </w:r>
    </w:p>
    <w:p>
      <w:pPr>
        <w:spacing w:line="360" w:lineRule="auto"/>
        <w:ind w:firstLine="480" w:firstLineChars="200"/>
        <w:rPr>
          <w:rFonts w:ascii="宋体" w:hAnsi="宋体"/>
          <w:sz w:val="24"/>
          <w:szCs w:val="24"/>
        </w:rPr>
      </w:pPr>
      <w:r>
        <w:rPr>
          <w:rFonts w:hint="eastAsia" w:ascii="宋体" w:hAnsi="宋体"/>
          <w:sz w:val="24"/>
          <w:szCs w:val="24"/>
        </w:rPr>
        <w:t>具体条款以双方签订的合同为准。</w:t>
      </w:r>
    </w:p>
    <w:p>
      <w:pPr>
        <w:spacing w:line="360" w:lineRule="auto"/>
        <w:ind w:firstLine="480" w:firstLineChars="200"/>
        <w:rPr>
          <w:rFonts w:ascii="宋体" w:hAnsi="宋体"/>
          <w:sz w:val="24"/>
          <w:szCs w:val="24"/>
        </w:rPr>
      </w:pPr>
      <w:r>
        <w:rPr>
          <w:rFonts w:hint="eastAsia" w:ascii="宋体" w:hAnsi="宋体"/>
          <w:sz w:val="24"/>
          <w:szCs w:val="24"/>
        </w:rPr>
        <w:t>联系方式：</w:t>
      </w:r>
    </w:p>
    <w:p>
      <w:pPr>
        <w:spacing w:line="360" w:lineRule="auto"/>
        <w:ind w:firstLine="480" w:firstLineChars="200"/>
        <w:rPr>
          <w:rFonts w:ascii="宋体" w:hAnsi="宋体"/>
          <w:sz w:val="24"/>
          <w:szCs w:val="24"/>
        </w:rPr>
      </w:pPr>
      <w:r>
        <w:rPr>
          <w:rFonts w:hint="eastAsia" w:ascii="宋体" w:hAnsi="宋体"/>
          <w:sz w:val="24"/>
          <w:szCs w:val="24"/>
        </w:rPr>
        <w:t>周加亚</w:t>
      </w:r>
      <w:r>
        <w:rPr>
          <w:rFonts w:hint="eastAsia" w:ascii="宋体" w:hAnsi="宋体"/>
          <w:sz w:val="24"/>
          <w:szCs w:val="24"/>
          <w:lang w:eastAsia="zh-CN"/>
        </w:rPr>
        <w:t>（业务）</w:t>
      </w:r>
      <w:r>
        <w:rPr>
          <w:rFonts w:hint="eastAsia" w:ascii="宋体" w:hAnsi="宋体"/>
          <w:sz w:val="24"/>
          <w:szCs w:val="24"/>
        </w:rPr>
        <w:t xml:space="preserve"> </w:t>
      </w:r>
      <w:r>
        <w:rPr>
          <w:rFonts w:hint="eastAsia" w:ascii="宋体" w:hAnsi="宋体"/>
          <w:sz w:val="24"/>
          <w:szCs w:val="24"/>
          <w:lang w:val="en-US" w:eastAsia="zh-CN"/>
        </w:rPr>
        <w:t xml:space="preserve"> </w:t>
      </w:r>
      <w:r>
        <w:rPr>
          <w:rFonts w:hint="eastAsia" w:ascii="宋体" w:hAnsi="宋体"/>
          <w:sz w:val="24"/>
          <w:szCs w:val="24"/>
        </w:rPr>
        <w:t>座机：0855-582507</w:t>
      </w:r>
      <w:r>
        <w:rPr>
          <w:rFonts w:hint="eastAsia" w:ascii="宋体" w:hAnsi="宋体"/>
          <w:sz w:val="24"/>
          <w:szCs w:val="24"/>
          <w:lang w:val="en-US" w:eastAsia="zh-CN"/>
        </w:rPr>
        <w:t>2</w:t>
      </w:r>
      <w:r>
        <w:rPr>
          <w:rFonts w:hint="eastAsia" w:ascii="宋体" w:hAnsi="宋体"/>
          <w:sz w:val="24"/>
          <w:szCs w:val="24"/>
        </w:rPr>
        <w:t xml:space="preserve">  手机：13765535008/17785612050</w:t>
      </w:r>
    </w:p>
    <w:p>
      <w:pPr>
        <w:spacing w:line="360" w:lineRule="auto"/>
        <w:ind w:firstLine="480" w:firstLineChars="200"/>
        <w:rPr>
          <w:rFonts w:ascii="宋体" w:hAnsi="宋体"/>
          <w:b/>
          <w:sz w:val="28"/>
          <w:szCs w:val="28"/>
        </w:rPr>
      </w:pPr>
      <w:r>
        <w:rPr>
          <w:rFonts w:hint="eastAsia" w:ascii="宋体" w:hAnsi="宋体"/>
          <w:sz w:val="24"/>
          <w:szCs w:val="24"/>
        </w:rPr>
        <w:t>赵</w:t>
      </w:r>
      <w:r>
        <w:rPr>
          <w:rFonts w:hint="eastAsia" w:ascii="宋体" w:hAnsi="宋体"/>
          <w:sz w:val="24"/>
          <w:szCs w:val="24"/>
          <w:lang w:val="en-US" w:eastAsia="zh-CN"/>
        </w:rPr>
        <w:t xml:space="preserve">  </w:t>
      </w:r>
      <w:r>
        <w:rPr>
          <w:rFonts w:hint="eastAsia" w:ascii="宋体" w:hAnsi="宋体"/>
          <w:sz w:val="24"/>
          <w:szCs w:val="24"/>
        </w:rPr>
        <w:t xml:space="preserve">杰（纪检） </w:t>
      </w:r>
      <w:r>
        <w:rPr>
          <w:rFonts w:hint="eastAsia" w:ascii="宋体" w:hAnsi="宋体"/>
          <w:sz w:val="24"/>
          <w:szCs w:val="24"/>
          <w:lang w:val="en-US" w:eastAsia="zh-CN"/>
        </w:rPr>
        <w:t xml:space="preserve"> </w:t>
      </w:r>
      <w:r>
        <w:rPr>
          <w:rFonts w:hint="eastAsia" w:ascii="宋体" w:hAnsi="宋体"/>
          <w:sz w:val="24"/>
          <w:szCs w:val="24"/>
        </w:rPr>
        <w:t>座机：0855-5825053  手机：15808557844</w:t>
      </w:r>
    </w:p>
    <w:p>
      <w:pPr>
        <w:spacing w:line="240" w:lineRule="atLeast"/>
        <w:jc w:val="center"/>
        <w:rPr>
          <w:rFonts w:ascii="宋体" w:hAnsi="宋体"/>
          <w:b/>
          <w:sz w:val="28"/>
          <w:szCs w:val="28"/>
        </w:rPr>
      </w:pPr>
    </w:p>
    <w:p>
      <w:pPr>
        <w:spacing w:line="240" w:lineRule="exact"/>
        <w:ind w:firstLine="470" w:firstLineChars="196"/>
        <w:jc w:val="right"/>
        <w:rPr>
          <w:rFonts w:hint="eastAsia" w:ascii="宋体" w:hAnsi="宋体"/>
          <w:sz w:val="24"/>
        </w:rPr>
      </w:pPr>
    </w:p>
    <w:p>
      <w:pPr>
        <w:spacing w:line="240" w:lineRule="exact"/>
        <w:ind w:firstLine="470" w:firstLineChars="196"/>
        <w:jc w:val="right"/>
        <w:rPr>
          <w:rFonts w:hint="eastAsia" w:ascii="宋体" w:hAnsi="宋体"/>
          <w:sz w:val="24"/>
        </w:rPr>
      </w:pPr>
      <w:r>
        <w:rPr>
          <w:rFonts w:hint="eastAsia" w:ascii="宋体" w:hAnsi="宋体"/>
          <w:sz w:val="24"/>
        </w:rPr>
        <w:t>202</w:t>
      </w:r>
      <w:r>
        <w:rPr>
          <w:rFonts w:hint="eastAsia" w:ascii="宋体" w:hAnsi="宋体"/>
          <w:sz w:val="24"/>
          <w:lang w:val="en-US" w:eastAsia="zh-CN"/>
        </w:rPr>
        <w:t>1</w:t>
      </w:r>
      <w:r>
        <w:rPr>
          <w:rFonts w:hint="eastAsia" w:ascii="宋体" w:hAnsi="宋体"/>
          <w:sz w:val="24"/>
        </w:rPr>
        <w:t>年</w:t>
      </w:r>
      <w:r>
        <w:rPr>
          <w:rFonts w:hint="eastAsia" w:ascii="宋体" w:hAnsi="宋体"/>
          <w:sz w:val="24"/>
          <w:lang w:val="en-US" w:eastAsia="zh-CN"/>
        </w:rPr>
        <w:t>4</w:t>
      </w:r>
      <w:r>
        <w:rPr>
          <w:rFonts w:hint="eastAsia" w:ascii="宋体" w:hAnsi="宋体"/>
          <w:sz w:val="24"/>
        </w:rPr>
        <w:t>月</w:t>
      </w:r>
      <w:r>
        <w:rPr>
          <w:rFonts w:hint="eastAsia" w:ascii="宋体" w:hAnsi="宋体"/>
          <w:sz w:val="24"/>
          <w:lang w:val="en-US" w:eastAsia="zh-CN"/>
        </w:rPr>
        <w:t>22</w:t>
      </w:r>
      <w:r>
        <w:rPr>
          <w:rFonts w:hint="eastAsia" w:ascii="宋体" w:hAnsi="宋体"/>
          <w:sz w:val="24"/>
        </w:rPr>
        <w:t>日</w:t>
      </w:r>
    </w:p>
    <w:p>
      <w:pPr>
        <w:spacing w:line="240" w:lineRule="exact"/>
        <w:ind w:firstLine="470" w:firstLineChars="196"/>
        <w:jc w:val="right"/>
        <w:rPr>
          <w:rFonts w:hint="eastAsia" w:ascii="宋体" w:hAnsi="宋体"/>
          <w:sz w:val="24"/>
        </w:rPr>
      </w:pPr>
    </w:p>
    <w:p>
      <w:pPr>
        <w:spacing w:line="240" w:lineRule="exact"/>
        <w:ind w:firstLine="470" w:firstLineChars="196"/>
        <w:jc w:val="right"/>
        <w:rPr>
          <w:rFonts w:hint="eastAsia" w:ascii="宋体" w:hAnsi="宋体"/>
          <w:sz w:val="24"/>
        </w:rPr>
      </w:pPr>
    </w:p>
    <w:p>
      <w:pPr>
        <w:spacing w:line="240" w:lineRule="atLeast"/>
        <w:jc w:val="center"/>
        <w:rPr>
          <w:rFonts w:ascii="宋体" w:hAnsi="宋体"/>
          <w:b/>
          <w:sz w:val="28"/>
          <w:szCs w:val="28"/>
        </w:rPr>
      </w:pPr>
      <w:r>
        <w:rPr>
          <w:rFonts w:hint="eastAsia" w:ascii="宋体" w:hAnsi="宋体"/>
          <w:b/>
          <w:sz w:val="28"/>
          <w:szCs w:val="28"/>
        </w:rPr>
        <w:t>***公司报价函：</w:t>
      </w:r>
    </w:p>
    <w:p>
      <w:pPr>
        <w:keepNext w:val="0"/>
        <w:keepLines w:val="0"/>
        <w:pageBreakBefore w:val="0"/>
        <w:widowControl w:val="0"/>
        <w:kinsoku/>
        <w:wordWrap/>
        <w:overflowPunct/>
        <w:topLinePunct w:val="0"/>
        <w:autoSpaceDE/>
        <w:autoSpaceDN/>
        <w:bidi w:val="0"/>
        <w:adjustRightInd/>
        <w:snapToGrid/>
        <w:spacing w:line="10" w:lineRule="atLeast"/>
        <w:ind w:left="0" w:leftChars="0" w:right="0" w:rightChars="0"/>
        <w:jc w:val="both"/>
        <w:textAlignment w:val="auto"/>
        <w:outlineLvl w:val="9"/>
        <w:rPr>
          <w:rFonts w:ascii="宋体" w:hAnsi="宋体"/>
          <w:sz w:val="24"/>
          <w:szCs w:val="24"/>
        </w:rPr>
      </w:pPr>
      <w:r>
        <w:rPr>
          <w:rFonts w:hint="eastAsia" w:ascii="宋体" w:hAnsi="宋体"/>
          <w:sz w:val="24"/>
          <w:szCs w:val="24"/>
        </w:rPr>
        <w:t>贵州黔东电力有限公司：</w:t>
      </w:r>
    </w:p>
    <w:p>
      <w:pPr>
        <w:keepNext w:val="0"/>
        <w:keepLines w:val="0"/>
        <w:pageBreakBefore w:val="0"/>
        <w:widowControl w:val="0"/>
        <w:kinsoku/>
        <w:wordWrap/>
        <w:overflowPunct/>
        <w:topLinePunct w:val="0"/>
        <w:autoSpaceDE/>
        <w:autoSpaceDN/>
        <w:bidi w:val="0"/>
        <w:adjustRightInd/>
        <w:snapToGrid/>
        <w:spacing w:line="10" w:lineRule="atLeast"/>
        <w:ind w:left="0" w:leftChars="0" w:right="0" w:rightChars="0" w:firstLine="480" w:firstLineChars="200"/>
        <w:jc w:val="both"/>
        <w:textAlignment w:val="auto"/>
        <w:outlineLvl w:val="9"/>
        <w:rPr>
          <w:rFonts w:hint="eastAsia" w:ascii="宋体" w:hAnsi="宋体"/>
          <w:b/>
          <w:bCs/>
          <w:sz w:val="24"/>
        </w:rPr>
      </w:pPr>
      <w:r>
        <w:rPr>
          <w:rFonts w:hint="eastAsia" w:ascii="宋体" w:hAnsi="宋体"/>
          <w:sz w:val="24"/>
          <w:szCs w:val="24"/>
        </w:rPr>
        <w:t>我公司认真阅读了贵公司电煤竞价采购公告，针对贵公司202</w:t>
      </w:r>
      <w:r>
        <w:rPr>
          <w:rFonts w:hint="eastAsia" w:ascii="宋体" w:hAnsi="宋体"/>
          <w:sz w:val="24"/>
          <w:szCs w:val="24"/>
          <w:lang w:val="en-US" w:eastAsia="zh-CN"/>
        </w:rPr>
        <w:t>1</w:t>
      </w:r>
      <w:r>
        <w:rPr>
          <w:rFonts w:hint="eastAsia" w:ascii="宋体" w:hAnsi="宋体"/>
          <w:sz w:val="24"/>
          <w:szCs w:val="24"/>
        </w:rPr>
        <w:t>年</w:t>
      </w:r>
      <w:r>
        <w:rPr>
          <w:rFonts w:hint="eastAsia" w:ascii="宋体" w:hAnsi="宋体"/>
          <w:sz w:val="24"/>
          <w:szCs w:val="24"/>
          <w:lang w:val="en-US" w:eastAsia="zh-CN"/>
        </w:rPr>
        <w:t>5</w:t>
      </w:r>
      <w:r>
        <w:rPr>
          <w:rFonts w:hint="eastAsia" w:ascii="宋体" w:hAnsi="宋体"/>
          <w:sz w:val="24"/>
          <w:szCs w:val="24"/>
        </w:rPr>
        <w:t>月</w:t>
      </w:r>
      <w:r>
        <w:rPr>
          <w:rFonts w:hint="eastAsia" w:ascii="宋体" w:hAnsi="宋体"/>
          <w:sz w:val="24"/>
          <w:szCs w:val="24"/>
          <w:lang w:val="en-US" w:eastAsia="zh-CN"/>
        </w:rPr>
        <w:t>1</w:t>
      </w:r>
      <w:r>
        <w:rPr>
          <w:rFonts w:hint="eastAsia" w:ascii="宋体" w:hAnsi="宋体"/>
          <w:sz w:val="24"/>
          <w:szCs w:val="24"/>
        </w:rPr>
        <w:t>日至202</w:t>
      </w:r>
      <w:r>
        <w:rPr>
          <w:rFonts w:hint="eastAsia" w:ascii="宋体" w:hAnsi="宋体"/>
          <w:sz w:val="24"/>
          <w:szCs w:val="24"/>
          <w:lang w:val="en-US" w:eastAsia="zh-CN"/>
        </w:rPr>
        <w:t>1</w:t>
      </w:r>
      <w:r>
        <w:rPr>
          <w:rFonts w:hint="eastAsia" w:ascii="宋体" w:hAnsi="宋体"/>
          <w:sz w:val="24"/>
          <w:szCs w:val="24"/>
        </w:rPr>
        <w:t>年</w:t>
      </w:r>
      <w:r>
        <w:rPr>
          <w:rFonts w:hint="eastAsia" w:ascii="宋体" w:hAnsi="宋体"/>
          <w:sz w:val="24"/>
          <w:szCs w:val="24"/>
          <w:lang w:val="en-US" w:eastAsia="zh-CN"/>
        </w:rPr>
        <w:t>5</w:t>
      </w:r>
      <w:r>
        <w:rPr>
          <w:rFonts w:hint="eastAsia" w:ascii="宋体" w:hAnsi="宋体"/>
          <w:sz w:val="24"/>
          <w:szCs w:val="24"/>
        </w:rPr>
        <w:t>月</w:t>
      </w:r>
      <w:r>
        <w:rPr>
          <w:rFonts w:hint="eastAsia" w:ascii="宋体" w:hAnsi="宋体"/>
          <w:sz w:val="24"/>
          <w:szCs w:val="24"/>
          <w:lang w:val="en-US" w:eastAsia="zh-CN"/>
        </w:rPr>
        <w:t>10</w:t>
      </w:r>
      <w:r>
        <w:rPr>
          <w:rFonts w:hint="eastAsia" w:ascii="宋体" w:hAnsi="宋体"/>
          <w:sz w:val="24"/>
          <w:szCs w:val="24"/>
        </w:rPr>
        <w:t>日竞价采购，我公司经过研究，正式报价如下：</w:t>
      </w:r>
    </w:p>
    <w:p>
      <w:pPr>
        <w:keepNext w:val="0"/>
        <w:keepLines w:val="0"/>
        <w:pageBreakBefore w:val="0"/>
        <w:widowControl w:val="0"/>
        <w:kinsoku/>
        <w:wordWrap/>
        <w:overflowPunct/>
        <w:topLinePunct w:val="0"/>
        <w:autoSpaceDE/>
        <w:autoSpaceDN/>
        <w:bidi w:val="0"/>
        <w:adjustRightInd/>
        <w:snapToGrid/>
        <w:spacing w:line="10" w:lineRule="atLeast"/>
        <w:ind w:left="0" w:leftChars="0" w:right="0" w:rightChars="0"/>
        <w:jc w:val="both"/>
        <w:textAlignment w:val="auto"/>
        <w:rPr>
          <w:rFonts w:ascii="宋体" w:hAnsi="宋体"/>
          <w:sz w:val="24"/>
        </w:rPr>
      </w:pPr>
      <w:r>
        <w:rPr>
          <w:rFonts w:hint="eastAsia" w:ascii="宋体" w:hAnsi="宋体"/>
          <w:b/>
          <w:bCs/>
          <w:sz w:val="24"/>
        </w:rPr>
        <w:t>煤种</w:t>
      </w:r>
      <w:r>
        <w:rPr>
          <w:rFonts w:hint="eastAsia" w:ascii="宋体" w:hAnsi="宋体"/>
          <w:b/>
          <w:bCs/>
          <w:sz w:val="24"/>
          <w:lang w:val="en-US" w:eastAsia="zh-CN"/>
        </w:rPr>
        <w:t>1</w:t>
      </w:r>
      <w:r>
        <w:rPr>
          <w:rFonts w:hint="eastAsia" w:ascii="宋体" w:hAnsi="宋体"/>
          <w:sz w:val="24"/>
        </w:rPr>
        <w:t>（普硫无烟原煤）：</w:t>
      </w:r>
    </w:p>
    <w:tbl>
      <w:tblPr>
        <w:tblStyle w:val="10"/>
        <w:tblW w:w="8340" w:type="dxa"/>
        <w:tblInd w:w="0" w:type="dxa"/>
        <w:tblLayout w:type="fixed"/>
        <w:tblCellMar>
          <w:top w:w="0" w:type="dxa"/>
          <w:left w:w="108" w:type="dxa"/>
          <w:bottom w:w="0" w:type="dxa"/>
          <w:right w:w="108" w:type="dxa"/>
        </w:tblCellMar>
      </w:tblPr>
      <w:tblGrid>
        <w:gridCol w:w="628"/>
        <w:gridCol w:w="1104"/>
        <w:gridCol w:w="2879"/>
        <w:gridCol w:w="1338"/>
        <w:gridCol w:w="2391"/>
      </w:tblGrid>
      <w:tr>
        <w:tblPrEx>
          <w:tblLayout w:type="fixed"/>
          <w:tblCellMar>
            <w:top w:w="0" w:type="dxa"/>
            <w:left w:w="108" w:type="dxa"/>
            <w:bottom w:w="0" w:type="dxa"/>
            <w:right w:w="108" w:type="dxa"/>
          </w:tblCellMar>
        </w:tblPrEx>
        <w:trPr>
          <w:trHeight w:val="334" w:hRule="atLeast"/>
        </w:trPr>
        <w:tc>
          <w:tcPr>
            <w:tcW w:w="62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序号</w:t>
            </w:r>
          </w:p>
        </w:tc>
        <w:tc>
          <w:tcPr>
            <w:tcW w:w="11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项目</w:t>
            </w:r>
          </w:p>
        </w:tc>
        <w:tc>
          <w:tcPr>
            <w:tcW w:w="4217"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kern w:val="0"/>
                <w:sz w:val="22"/>
              </w:rPr>
              <w:t>内容</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备注</w:t>
            </w:r>
          </w:p>
        </w:tc>
      </w:tr>
      <w:tr>
        <w:tblPrEx>
          <w:tblLayout w:type="fixed"/>
          <w:tblCellMar>
            <w:top w:w="0" w:type="dxa"/>
            <w:left w:w="108" w:type="dxa"/>
            <w:bottom w:w="0" w:type="dxa"/>
            <w:right w:w="108" w:type="dxa"/>
          </w:tblCellMar>
        </w:tblPrEx>
        <w:trPr>
          <w:trHeight w:val="324" w:hRule="atLeast"/>
        </w:trPr>
        <w:tc>
          <w:tcPr>
            <w:tcW w:w="628"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1</w:t>
            </w:r>
          </w:p>
        </w:tc>
        <w:tc>
          <w:tcPr>
            <w:tcW w:w="1104"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煤炭指标</w:t>
            </w:r>
          </w:p>
        </w:tc>
        <w:tc>
          <w:tcPr>
            <w:tcW w:w="287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18"/>
                <w:szCs w:val="18"/>
              </w:rPr>
            </w:pPr>
            <w:r>
              <w:rPr>
                <w:rFonts w:hint="eastAsia" w:ascii="宋体" w:hAnsi="宋体" w:cs="宋体"/>
                <w:color w:val="000000"/>
                <w:kern w:val="0"/>
                <w:sz w:val="18"/>
                <w:szCs w:val="18"/>
              </w:rPr>
              <w:t>收到基低位热值Qnet,ar（大卡）</w:t>
            </w:r>
          </w:p>
        </w:tc>
        <w:tc>
          <w:tcPr>
            <w:tcW w:w="133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rPr>
                <w:rFonts w:ascii="宋体" w:hAnsi="Calibri" w:cs="宋体"/>
                <w:color w:val="000000"/>
                <w:sz w:val="22"/>
              </w:rPr>
            </w:pPr>
            <w:r>
              <w:rPr>
                <w:rFonts w:hint="eastAsia" w:ascii="宋体" w:hAnsi="Calibri" w:cs="宋体"/>
                <w:color w:val="000000"/>
                <w:sz w:val="22"/>
              </w:rPr>
              <w:t>**</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20"/>
                <w:szCs w:val="20"/>
              </w:rPr>
            </w:pPr>
          </w:p>
        </w:tc>
      </w:tr>
      <w:tr>
        <w:tblPrEx>
          <w:tblLayout w:type="fixed"/>
          <w:tblCellMar>
            <w:top w:w="0" w:type="dxa"/>
            <w:left w:w="108" w:type="dxa"/>
            <w:bottom w:w="0" w:type="dxa"/>
            <w:right w:w="108" w:type="dxa"/>
          </w:tblCellMar>
        </w:tblPrEx>
        <w:trPr>
          <w:trHeight w:val="314" w:hRule="atLeast"/>
        </w:trPr>
        <w:tc>
          <w:tcPr>
            <w:tcW w:w="628"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40" w:lineRule="atLeast"/>
              <w:jc w:val="left"/>
              <w:rPr>
                <w:rFonts w:ascii="宋体" w:hAnsi="Calibri" w:cs="宋体"/>
                <w:color w:val="000000"/>
                <w:sz w:val="22"/>
              </w:rPr>
            </w:pPr>
          </w:p>
        </w:tc>
        <w:tc>
          <w:tcPr>
            <w:tcW w:w="1104"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40" w:lineRule="atLeast"/>
              <w:jc w:val="left"/>
              <w:rPr>
                <w:rFonts w:ascii="宋体" w:hAnsi="Calibri" w:cs="宋体"/>
                <w:color w:val="000000"/>
                <w:sz w:val="22"/>
              </w:rPr>
            </w:pPr>
          </w:p>
        </w:tc>
        <w:tc>
          <w:tcPr>
            <w:tcW w:w="287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textAlignment w:val="center"/>
              <w:rPr>
                <w:rFonts w:ascii="宋体" w:hAnsi="Calibri" w:cs="宋体"/>
                <w:color w:val="000000"/>
                <w:sz w:val="18"/>
                <w:szCs w:val="18"/>
              </w:rPr>
            </w:pPr>
            <w:r>
              <w:rPr>
                <w:rFonts w:hint="eastAsia" w:ascii="宋体" w:hAnsi="宋体" w:cs="宋体"/>
                <w:color w:val="000000"/>
                <w:kern w:val="0"/>
                <w:sz w:val="18"/>
                <w:szCs w:val="18"/>
              </w:rPr>
              <w:t>干燥基全硫St,d（%）</w:t>
            </w:r>
          </w:p>
        </w:tc>
        <w:tc>
          <w:tcPr>
            <w:tcW w:w="133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rPr>
                <w:rFonts w:ascii="宋体" w:hAnsi="Calibri" w:cs="宋体"/>
                <w:color w:val="000000"/>
                <w:sz w:val="22"/>
              </w:rPr>
            </w:pPr>
            <w:r>
              <w:rPr>
                <w:rFonts w:hint="eastAsia" w:ascii="宋体" w:hAnsi="Calibri" w:cs="宋体"/>
                <w:color w:val="000000"/>
                <w:sz w:val="22"/>
              </w:rPr>
              <w:t>**</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eastAsia="宋体" w:cs="宋体"/>
                <w:color w:val="000000"/>
                <w:sz w:val="18"/>
                <w:szCs w:val="18"/>
              </w:rPr>
            </w:pPr>
            <w:r>
              <w:rPr>
                <w:rFonts w:hint="eastAsia" w:ascii="宋体" w:hAnsi="Calibri" w:cs="宋体"/>
                <w:color w:val="000000"/>
                <w:sz w:val="18"/>
                <w:szCs w:val="18"/>
              </w:rPr>
              <w:t>＞3.5%开始考核</w:t>
            </w:r>
          </w:p>
        </w:tc>
      </w:tr>
      <w:tr>
        <w:tblPrEx>
          <w:tblLayout w:type="fixed"/>
          <w:tblCellMar>
            <w:top w:w="0" w:type="dxa"/>
            <w:left w:w="108" w:type="dxa"/>
            <w:bottom w:w="0" w:type="dxa"/>
            <w:right w:w="108" w:type="dxa"/>
          </w:tblCellMar>
        </w:tblPrEx>
        <w:trPr>
          <w:trHeight w:val="304" w:hRule="atLeast"/>
        </w:trPr>
        <w:tc>
          <w:tcPr>
            <w:tcW w:w="628"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40" w:lineRule="atLeast"/>
              <w:jc w:val="left"/>
              <w:rPr>
                <w:rFonts w:ascii="宋体" w:hAnsi="Calibri" w:cs="宋体"/>
                <w:color w:val="000000"/>
                <w:sz w:val="22"/>
              </w:rPr>
            </w:pPr>
          </w:p>
        </w:tc>
        <w:tc>
          <w:tcPr>
            <w:tcW w:w="1104"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40" w:lineRule="atLeast"/>
              <w:jc w:val="left"/>
              <w:rPr>
                <w:rFonts w:ascii="宋体" w:hAnsi="Calibri" w:cs="宋体"/>
                <w:color w:val="000000"/>
                <w:sz w:val="22"/>
              </w:rPr>
            </w:pPr>
          </w:p>
        </w:tc>
        <w:tc>
          <w:tcPr>
            <w:tcW w:w="287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textAlignment w:val="center"/>
              <w:rPr>
                <w:rFonts w:ascii="宋体" w:hAnsi="Calibri" w:cs="宋体"/>
                <w:color w:val="000000"/>
                <w:sz w:val="18"/>
                <w:szCs w:val="18"/>
              </w:rPr>
            </w:pPr>
            <w:r>
              <w:rPr>
                <w:rFonts w:hint="eastAsia" w:ascii="宋体" w:hAnsi="宋体" w:cs="宋体"/>
                <w:color w:val="000000"/>
                <w:kern w:val="0"/>
                <w:sz w:val="18"/>
                <w:szCs w:val="18"/>
              </w:rPr>
              <w:t>干燥无灰基挥发分Vdaf（%）</w:t>
            </w:r>
          </w:p>
        </w:tc>
        <w:tc>
          <w:tcPr>
            <w:tcW w:w="133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rPr>
                <w:rFonts w:ascii="宋体" w:hAnsi="Calibri" w:cs="宋体"/>
                <w:color w:val="000000"/>
                <w:sz w:val="22"/>
              </w:rPr>
            </w:pPr>
            <w:r>
              <w:rPr>
                <w:rFonts w:hint="eastAsia" w:ascii="宋体" w:hAnsi="Calibri" w:cs="宋体"/>
                <w:color w:val="000000"/>
                <w:sz w:val="22"/>
              </w:rPr>
              <w:t>**</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18"/>
                <w:szCs w:val="18"/>
              </w:rPr>
            </w:pPr>
          </w:p>
        </w:tc>
      </w:tr>
      <w:tr>
        <w:tblPrEx>
          <w:tblLayout w:type="fixed"/>
          <w:tblCellMar>
            <w:top w:w="0" w:type="dxa"/>
            <w:left w:w="108" w:type="dxa"/>
            <w:bottom w:w="0" w:type="dxa"/>
            <w:right w:w="108" w:type="dxa"/>
          </w:tblCellMar>
        </w:tblPrEx>
        <w:trPr>
          <w:trHeight w:val="344" w:hRule="atLeast"/>
        </w:trPr>
        <w:tc>
          <w:tcPr>
            <w:tcW w:w="628" w:type="dxa"/>
            <w:tcBorders>
              <w:top w:val="single" w:color="000000" w:sz="4" w:space="0"/>
              <w:left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2</w:t>
            </w:r>
          </w:p>
        </w:tc>
        <w:tc>
          <w:tcPr>
            <w:tcW w:w="1104" w:type="dxa"/>
            <w:tcBorders>
              <w:top w:val="single" w:color="000000" w:sz="4" w:space="0"/>
              <w:left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煤炭价格</w:t>
            </w:r>
          </w:p>
        </w:tc>
        <w:tc>
          <w:tcPr>
            <w:tcW w:w="4217"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bCs/>
                <w:color w:val="000000"/>
                <w:sz w:val="22"/>
              </w:rPr>
            </w:pPr>
            <w:r>
              <w:rPr>
                <w:rFonts w:hint="eastAsia" w:ascii="宋体" w:cs="宋体"/>
                <w:bCs/>
                <w:color w:val="000000"/>
                <w:sz w:val="22"/>
              </w:rPr>
              <w:t>**元/大卡·吨</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18"/>
                <w:szCs w:val="18"/>
              </w:rPr>
            </w:pPr>
            <w:r>
              <w:rPr>
                <w:rFonts w:hint="eastAsia" w:ascii="宋体" w:hAnsi="Calibri" w:cs="宋体"/>
                <w:color w:val="000000"/>
                <w:sz w:val="18"/>
                <w:szCs w:val="18"/>
              </w:rPr>
              <w:t>**票结算</w:t>
            </w:r>
          </w:p>
        </w:tc>
      </w:tr>
      <w:tr>
        <w:tblPrEx>
          <w:tblLayout w:type="fixed"/>
          <w:tblCellMar>
            <w:top w:w="0" w:type="dxa"/>
            <w:left w:w="108" w:type="dxa"/>
            <w:bottom w:w="0" w:type="dxa"/>
            <w:right w:w="108" w:type="dxa"/>
          </w:tblCellMar>
        </w:tblPrEx>
        <w:trPr>
          <w:trHeight w:val="354" w:hRule="atLeast"/>
        </w:trPr>
        <w:tc>
          <w:tcPr>
            <w:tcW w:w="62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宋体" w:cs="宋体"/>
                <w:color w:val="000000"/>
                <w:kern w:val="0"/>
                <w:sz w:val="22"/>
              </w:rPr>
            </w:pPr>
            <w:r>
              <w:rPr>
                <w:rFonts w:hint="eastAsia" w:ascii="宋体" w:hAnsi="宋体" w:cs="宋体"/>
                <w:color w:val="000000"/>
                <w:kern w:val="0"/>
                <w:sz w:val="22"/>
              </w:rPr>
              <w:t>3</w:t>
            </w:r>
          </w:p>
        </w:tc>
        <w:tc>
          <w:tcPr>
            <w:tcW w:w="11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宋体" w:cs="宋体"/>
                <w:color w:val="000000"/>
                <w:kern w:val="0"/>
                <w:sz w:val="22"/>
              </w:rPr>
            </w:pPr>
            <w:r>
              <w:rPr>
                <w:rFonts w:hint="eastAsia" w:ascii="宋体" w:hAnsi="宋体" w:cs="宋体"/>
                <w:color w:val="000000"/>
                <w:kern w:val="0"/>
                <w:sz w:val="22"/>
              </w:rPr>
              <w:t>合同数量</w:t>
            </w:r>
          </w:p>
        </w:tc>
        <w:tc>
          <w:tcPr>
            <w:tcW w:w="4217"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22"/>
              </w:rPr>
            </w:pPr>
            <w:r>
              <w:rPr>
                <w:rFonts w:hint="eastAsia" w:ascii="宋体" w:cs="宋体"/>
                <w:color w:val="000000"/>
                <w:sz w:val="22"/>
              </w:rPr>
              <w:t>**吨</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18"/>
                <w:szCs w:val="18"/>
              </w:rPr>
            </w:pPr>
            <w:r>
              <w:rPr>
                <w:rFonts w:hint="eastAsia" w:ascii="宋体" w:hAnsi="Calibri" w:cs="宋体"/>
                <w:color w:val="000000"/>
                <w:sz w:val="20"/>
                <w:szCs w:val="20"/>
                <w:highlight w:val="none"/>
                <w:lang w:val="en-US" w:eastAsia="zh-CN"/>
              </w:rPr>
              <w:t>±</w:t>
            </w:r>
            <w:r>
              <w:rPr>
                <w:rFonts w:hint="eastAsia" w:ascii="宋体" w:hAnsi="Calibri" w:cs="宋体"/>
                <w:color w:val="000000"/>
                <w:sz w:val="18"/>
                <w:szCs w:val="18"/>
              </w:rPr>
              <w:t>10%</w:t>
            </w:r>
          </w:p>
        </w:tc>
      </w:tr>
      <w:tr>
        <w:tblPrEx>
          <w:tblLayout w:type="fixed"/>
          <w:tblCellMar>
            <w:top w:w="0" w:type="dxa"/>
            <w:left w:w="108" w:type="dxa"/>
            <w:bottom w:w="0" w:type="dxa"/>
            <w:right w:w="108" w:type="dxa"/>
          </w:tblCellMar>
        </w:tblPrEx>
        <w:trPr>
          <w:trHeight w:val="324" w:hRule="atLeast"/>
        </w:trPr>
        <w:tc>
          <w:tcPr>
            <w:tcW w:w="62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宋体" w:cs="宋体"/>
                <w:color w:val="000000"/>
                <w:kern w:val="0"/>
                <w:sz w:val="22"/>
              </w:rPr>
            </w:pPr>
            <w:r>
              <w:rPr>
                <w:rFonts w:hint="eastAsia" w:ascii="宋体" w:hAnsi="宋体" w:cs="宋体"/>
                <w:color w:val="000000"/>
                <w:kern w:val="0"/>
                <w:sz w:val="22"/>
              </w:rPr>
              <w:t>4</w:t>
            </w:r>
          </w:p>
        </w:tc>
        <w:tc>
          <w:tcPr>
            <w:tcW w:w="11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宋体" w:cs="宋体"/>
                <w:color w:val="000000"/>
                <w:kern w:val="0"/>
                <w:sz w:val="22"/>
              </w:rPr>
            </w:pPr>
            <w:r>
              <w:rPr>
                <w:rFonts w:hint="eastAsia" w:ascii="宋体" w:hAnsi="宋体" w:cs="宋体"/>
                <w:color w:val="000000"/>
                <w:kern w:val="0"/>
                <w:sz w:val="22"/>
              </w:rPr>
              <w:t>到站</w:t>
            </w:r>
          </w:p>
        </w:tc>
        <w:tc>
          <w:tcPr>
            <w:tcW w:w="4217"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cs="宋体"/>
                <w:color w:val="000000"/>
                <w:sz w:val="22"/>
              </w:rPr>
            </w:pPr>
            <w:r>
              <w:rPr>
                <w:rFonts w:hint="eastAsia" w:ascii="宋体" w:cs="宋体"/>
                <w:color w:val="000000"/>
                <w:sz w:val="22"/>
              </w:rPr>
              <w:t>羊坪（贵州黔东电力有限公司专用线）</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20"/>
                <w:szCs w:val="20"/>
              </w:rPr>
            </w:pPr>
          </w:p>
        </w:tc>
      </w:tr>
      <w:tr>
        <w:tblPrEx>
          <w:tblLayout w:type="fixed"/>
          <w:tblCellMar>
            <w:top w:w="0" w:type="dxa"/>
            <w:left w:w="108" w:type="dxa"/>
            <w:bottom w:w="0" w:type="dxa"/>
            <w:right w:w="108" w:type="dxa"/>
          </w:tblCellMar>
        </w:tblPrEx>
        <w:trPr>
          <w:trHeight w:val="374" w:hRule="atLeast"/>
        </w:trPr>
        <w:tc>
          <w:tcPr>
            <w:tcW w:w="62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5</w:t>
            </w:r>
          </w:p>
        </w:tc>
        <w:tc>
          <w:tcPr>
            <w:tcW w:w="11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发站属地</w:t>
            </w:r>
          </w:p>
        </w:tc>
        <w:tc>
          <w:tcPr>
            <w:tcW w:w="4217"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22"/>
              </w:rPr>
            </w:pPr>
            <w:r>
              <w:rPr>
                <w:rFonts w:hint="eastAsia" w:ascii="宋体" w:hAnsi="Calibri" w:cs="宋体"/>
                <w:color w:val="000000"/>
                <w:sz w:val="22"/>
              </w:rPr>
              <w:t>**省、**省、**省</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20"/>
                <w:szCs w:val="20"/>
              </w:rPr>
            </w:pPr>
          </w:p>
        </w:tc>
      </w:tr>
    </w:tbl>
    <w:p>
      <w:pPr>
        <w:keepNext w:val="0"/>
        <w:keepLines w:val="0"/>
        <w:pageBreakBefore w:val="0"/>
        <w:kinsoku/>
        <w:wordWrap/>
        <w:overflowPunct/>
        <w:topLinePunct w:val="0"/>
        <w:autoSpaceDE/>
        <w:autoSpaceDN/>
        <w:bidi w:val="0"/>
        <w:adjustRightInd/>
        <w:snapToGrid/>
        <w:spacing w:line="240" w:lineRule="atLeast"/>
        <w:ind w:right="0" w:rightChars="0"/>
        <w:outlineLvl w:val="9"/>
        <w:rPr>
          <w:rFonts w:hint="eastAsia" w:ascii="宋体" w:hAnsi="宋体"/>
          <w:sz w:val="24"/>
          <w:highlight w:val="none"/>
          <w:lang w:val="en-US" w:eastAsia="zh-CN"/>
        </w:rPr>
      </w:pPr>
      <w:r>
        <w:rPr>
          <w:rFonts w:hint="eastAsia" w:ascii="宋体" w:hAnsi="宋体"/>
          <w:b/>
          <w:bCs/>
          <w:sz w:val="24"/>
          <w:highlight w:val="none"/>
          <w:lang w:eastAsia="zh-CN"/>
        </w:rPr>
        <w:t>煤种</w:t>
      </w:r>
      <w:r>
        <w:rPr>
          <w:rFonts w:hint="eastAsia" w:ascii="宋体" w:hAnsi="宋体"/>
          <w:b/>
          <w:bCs/>
          <w:sz w:val="24"/>
          <w:highlight w:val="none"/>
          <w:lang w:val="en-US" w:eastAsia="zh-CN"/>
        </w:rPr>
        <w:t>2</w:t>
      </w:r>
      <w:r>
        <w:rPr>
          <w:rFonts w:hint="eastAsia" w:ascii="宋体" w:hAnsi="宋体"/>
          <w:sz w:val="24"/>
        </w:rPr>
        <w:t>（普硫烟</w:t>
      </w:r>
      <w:r>
        <w:rPr>
          <w:rFonts w:hint="eastAsia" w:ascii="宋体" w:hAnsi="宋体"/>
          <w:sz w:val="24"/>
          <w:lang w:eastAsia="zh-CN"/>
        </w:rPr>
        <w:t>煤</w:t>
      </w:r>
      <w:r>
        <w:rPr>
          <w:rFonts w:hint="eastAsia" w:ascii="宋体" w:hAnsi="宋体"/>
          <w:sz w:val="24"/>
        </w:rPr>
        <w:t>）</w:t>
      </w:r>
      <w:r>
        <w:rPr>
          <w:rFonts w:hint="eastAsia" w:ascii="宋体" w:hAnsi="宋体"/>
          <w:sz w:val="24"/>
          <w:highlight w:val="none"/>
          <w:lang w:val="en-US" w:eastAsia="zh-CN"/>
        </w:rPr>
        <w:t>：</w:t>
      </w:r>
    </w:p>
    <w:tbl>
      <w:tblPr>
        <w:tblStyle w:val="10"/>
        <w:tblW w:w="8340" w:type="dxa"/>
        <w:tblInd w:w="0" w:type="dxa"/>
        <w:tblLayout w:type="fixed"/>
        <w:tblCellMar>
          <w:top w:w="0" w:type="dxa"/>
          <w:left w:w="108" w:type="dxa"/>
          <w:bottom w:w="0" w:type="dxa"/>
          <w:right w:w="108" w:type="dxa"/>
        </w:tblCellMar>
      </w:tblPr>
      <w:tblGrid>
        <w:gridCol w:w="628"/>
        <w:gridCol w:w="1104"/>
        <w:gridCol w:w="2879"/>
        <w:gridCol w:w="1338"/>
        <w:gridCol w:w="2391"/>
      </w:tblGrid>
      <w:tr>
        <w:tblPrEx>
          <w:tblLayout w:type="fixed"/>
          <w:tblCellMar>
            <w:top w:w="0" w:type="dxa"/>
            <w:left w:w="108" w:type="dxa"/>
            <w:bottom w:w="0" w:type="dxa"/>
            <w:right w:w="108" w:type="dxa"/>
          </w:tblCellMar>
        </w:tblPrEx>
        <w:trPr>
          <w:trHeight w:val="360" w:hRule="atLeast"/>
        </w:trPr>
        <w:tc>
          <w:tcPr>
            <w:tcW w:w="62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jc w:val="center"/>
              <w:textAlignment w:val="center"/>
              <w:outlineLvl w:val="9"/>
              <w:rPr>
                <w:rFonts w:ascii="宋体" w:hAnsi="Calibri" w:cs="宋体"/>
                <w:color w:val="000000"/>
                <w:sz w:val="22"/>
                <w:highlight w:val="none"/>
              </w:rPr>
            </w:pPr>
            <w:r>
              <w:rPr>
                <w:rFonts w:hint="eastAsia" w:ascii="宋体" w:hAnsi="宋体" w:cs="宋体"/>
                <w:color w:val="000000"/>
                <w:kern w:val="0"/>
                <w:sz w:val="22"/>
                <w:highlight w:val="none"/>
              </w:rPr>
              <w:t>序号</w:t>
            </w:r>
          </w:p>
        </w:tc>
        <w:tc>
          <w:tcPr>
            <w:tcW w:w="11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jc w:val="center"/>
              <w:textAlignment w:val="center"/>
              <w:outlineLvl w:val="9"/>
              <w:rPr>
                <w:rFonts w:ascii="宋体" w:hAnsi="Calibri" w:cs="宋体"/>
                <w:color w:val="000000"/>
                <w:sz w:val="22"/>
                <w:highlight w:val="none"/>
              </w:rPr>
            </w:pPr>
            <w:r>
              <w:rPr>
                <w:rFonts w:hint="eastAsia" w:ascii="宋体" w:hAnsi="宋体" w:cs="宋体"/>
                <w:color w:val="000000"/>
                <w:kern w:val="0"/>
                <w:sz w:val="22"/>
                <w:highlight w:val="none"/>
              </w:rPr>
              <w:t>项目</w:t>
            </w:r>
          </w:p>
        </w:tc>
        <w:tc>
          <w:tcPr>
            <w:tcW w:w="4217"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jc w:val="center"/>
              <w:textAlignment w:val="center"/>
              <w:outlineLvl w:val="9"/>
              <w:rPr>
                <w:rFonts w:ascii="宋体" w:hAnsi="Calibri" w:cs="宋体"/>
                <w:color w:val="000000"/>
                <w:sz w:val="22"/>
                <w:highlight w:val="none"/>
              </w:rPr>
            </w:pPr>
            <w:r>
              <w:rPr>
                <w:rFonts w:hint="eastAsia" w:ascii="宋体" w:hAnsi="宋体" w:cs="宋体"/>
                <w:kern w:val="0"/>
                <w:sz w:val="22"/>
                <w:highlight w:val="none"/>
              </w:rPr>
              <w:t>内容</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jc w:val="center"/>
              <w:textAlignment w:val="center"/>
              <w:outlineLvl w:val="9"/>
              <w:rPr>
                <w:rFonts w:ascii="宋体" w:hAnsi="Calibri" w:cs="宋体"/>
                <w:color w:val="000000"/>
                <w:sz w:val="22"/>
                <w:highlight w:val="none"/>
              </w:rPr>
            </w:pPr>
            <w:r>
              <w:rPr>
                <w:rFonts w:hint="eastAsia" w:ascii="宋体" w:hAnsi="宋体" w:cs="宋体"/>
                <w:color w:val="000000"/>
                <w:kern w:val="0"/>
                <w:sz w:val="22"/>
                <w:highlight w:val="none"/>
              </w:rPr>
              <w:t>备注</w:t>
            </w:r>
          </w:p>
        </w:tc>
      </w:tr>
      <w:tr>
        <w:tblPrEx>
          <w:tblLayout w:type="fixed"/>
          <w:tblCellMar>
            <w:top w:w="0" w:type="dxa"/>
            <w:left w:w="108" w:type="dxa"/>
            <w:bottom w:w="0" w:type="dxa"/>
            <w:right w:w="108" w:type="dxa"/>
          </w:tblCellMar>
        </w:tblPrEx>
        <w:trPr>
          <w:trHeight w:val="340" w:hRule="atLeast"/>
        </w:trPr>
        <w:tc>
          <w:tcPr>
            <w:tcW w:w="628"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jc w:val="center"/>
              <w:textAlignment w:val="center"/>
              <w:outlineLvl w:val="9"/>
              <w:rPr>
                <w:rFonts w:ascii="宋体" w:hAnsi="Calibri" w:cs="宋体"/>
                <w:color w:val="000000"/>
                <w:sz w:val="22"/>
                <w:highlight w:val="none"/>
              </w:rPr>
            </w:pPr>
            <w:r>
              <w:rPr>
                <w:rFonts w:hint="eastAsia" w:ascii="宋体" w:hAnsi="宋体" w:cs="宋体"/>
                <w:color w:val="000000"/>
                <w:kern w:val="0"/>
                <w:sz w:val="22"/>
                <w:highlight w:val="none"/>
              </w:rPr>
              <w:t>1</w:t>
            </w:r>
          </w:p>
        </w:tc>
        <w:tc>
          <w:tcPr>
            <w:tcW w:w="1104"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jc w:val="center"/>
              <w:textAlignment w:val="center"/>
              <w:outlineLvl w:val="9"/>
              <w:rPr>
                <w:rFonts w:ascii="宋体" w:hAnsi="Calibri" w:cs="宋体"/>
                <w:color w:val="000000"/>
                <w:sz w:val="22"/>
                <w:highlight w:val="none"/>
              </w:rPr>
            </w:pPr>
            <w:r>
              <w:rPr>
                <w:rFonts w:hint="eastAsia" w:ascii="宋体" w:hAnsi="宋体" w:cs="宋体"/>
                <w:color w:val="000000"/>
                <w:kern w:val="0"/>
                <w:sz w:val="22"/>
                <w:highlight w:val="none"/>
              </w:rPr>
              <w:t>煤炭指标</w:t>
            </w:r>
          </w:p>
        </w:tc>
        <w:tc>
          <w:tcPr>
            <w:tcW w:w="287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jc w:val="center"/>
              <w:textAlignment w:val="center"/>
              <w:outlineLvl w:val="9"/>
              <w:rPr>
                <w:rFonts w:ascii="宋体" w:hAnsi="Calibri" w:cs="宋体"/>
                <w:color w:val="000000"/>
                <w:sz w:val="18"/>
                <w:szCs w:val="18"/>
                <w:highlight w:val="none"/>
              </w:rPr>
            </w:pPr>
            <w:r>
              <w:rPr>
                <w:rFonts w:hint="eastAsia" w:ascii="宋体" w:hAnsi="宋体" w:cs="宋体"/>
                <w:color w:val="000000"/>
                <w:kern w:val="0"/>
                <w:sz w:val="18"/>
                <w:szCs w:val="18"/>
                <w:highlight w:val="none"/>
              </w:rPr>
              <w:t>收到基低位热值Qnet,ar（大卡）</w:t>
            </w:r>
          </w:p>
        </w:tc>
        <w:tc>
          <w:tcPr>
            <w:tcW w:w="133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ind w:left="0" w:leftChars="0" w:right="0" w:rightChars="0"/>
              <w:outlineLvl w:val="9"/>
              <w:rPr>
                <w:rFonts w:ascii="宋体" w:hAnsi="Calibri" w:cs="宋体"/>
                <w:color w:val="000000"/>
                <w:sz w:val="22"/>
                <w:highlight w:val="none"/>
              </w:rPr>
            </w:pPr>
            <w:r>
              <w:rPr>
                <w:rFonts w:hint="eastAsia" w:ascii="宋体" w:hAnsi="Calibri" w:cs="宋体"/>
                <w:color w:val="000000"/>
                <w:sz w:val="22"/>
                <w:highlight w:val="none"/>
              </w:rPr>
              <w:t>**</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ind w:left="0" w:leftChars="0" w:right="0" w:rightChars="0"/>
              <w:jc w:val="center"/>
              <w:outlineLvl w:val="9"/>
              <w:rPr>
                <w:rFonts w:ascii="宋体" w:hAnsi="Calibri" w:cs="宋体"/>
                <w:color w:val="000000"/>
                <w:sz w:val="20"/>
                <w:szCs w:val="20"/>
                <w:highlight w:val="none"/>
              </w:rPr>
            </w:pPr>
          </w:p>
        </w:tc>
      </w:tr>
      <w:tr>
        <w:tblPrEx>
          <w:tblLayout w:type="fixed"/>
          <w:tblCellMar>
            <w:top w:w="0" w:type="dxa"/>
            <w:left w:w="108" w:type="dxa"/>
            <w:bottom w:w="0" w:type="dxa"/>
            <w:right w:w="108" w:type="dxa"/>
          </w:tblCellMar>
        </w:tblPrEx>
        <w:trPr>
          <w:trHeight w:val="290" w:hRule="atLeast"/>
        </w:trPr>
        <w:tc>
          <w:tcPr>
            <w:tcW w:w="628"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jc w:val="left"/>
              <w:outlineLvl w:val="9"/>
              <w:rPr>
                <w:rFonts w:ascii="宋体" w:hAnsi="Calibri" w:cs="宋体"/>
                <w:color w:val="000000"/>
                <w:sz w:val="22"/>
                <w:highlight w:val="none"/>
              </w:rPr>
            </w:pPr>
          </w:p>
        </w:tc>
        <w:tc>
          <w:tcPr>
            <w:tcW w:w="1104"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jc w:val="left"/>
              <w:outlineLvl w:val="9"/>
              <w:rPr>
                <w:rFonts w:ascii="宋体" w:hAnsi="Calibri" w:cs="宋体"/>
                <w:color w:val="000000"/>
                <w:sz w:val="22"/>
                <w:highlight w:val="none"/>
              </w:rPr>
            </w:pPr>
          </w:p>
        </w:tc>
        <w:tc>
          <w:tcPr>
            <w:tcW w:w="287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jc w:val="both"/>
              <w:textAlignment w:val="center"/>
              <w:outlineLvl w:val="9"/>
              <w:rPr>
                <w:rFonts w:ascii="宋体" w:hAnsi="Calibri" w:cs="宋体"/>
                <w:color w:val="000000"/>
                <w:sz w:val="18"/>
                <w:szCs w:val="18"/>
                <w:highlight w:val="none"/>
              </w:rPr>
            </w:pPr>
            <w:r>
              <w:rPr>
                <w:rFonts w:hint="eastAsia" w:ascii="宋体" w:hAnsi="宋体" w:cs="宋体"/>
                <w:color w:val="000000"/>
                <w:kern w:val="0"/>
                <w:sz w:val="18"/>
                <w:szCs w:val="18"/>
                <w:highlight w:val="none"/>
                <w:lang w:val="en-US" w:eastAsia="zh-CN"/>
              </w:rPr>
              <w:t xml:space="preserve"> </w:t>
            </w:r>
            <w:r>
              <w:rPr>
                <w:rFonts w:hint="eastAsia" w:ascii="宋体" w:hAnsi="宋体" w:cs="宋体"/>
                <w:color w:val="000000"/>
                <w:kern w:val="0"/>
                <w:sz w:val="18"/>
                <w:szCs w:val="18"/>
                <w:highlight w:val="none"/>
              </w:rPr>
              <w:t>干燥基全硫St,d（%）</w:t>
            </w:r>
          </w:p>
        </w:tc>
        <w:tc>
          <w:tcPr>
            <w:tcW w:w="133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ind w:left="0" w:leftChars="0" w:right="0" w:rightChars="0"/>
              <w:outlineLvl w:val="9"/>
              <w:rPr>
                <w:rFonts w:ascii="宋体" w:hAnsi="Calibri" w:cs="宋体"/>
                <w:color w:val="000000"/>
                <w:sz w:val="22"/>
                <w:highlight w:val="none"/>
              </w:rPr>
            </w:pPr>
            <w:r>
              <w:rPr>
                <w:rFonts w:hint="eastAsia" w:ascii="宋体" w:hAnsi="Calibri" w:cs="宋体"/>
                <w:color w:val="000000"/>
                <w:sz w:val="22"/>
                <w:highlight w:val="none"/>
              </w:rPr>
              <w:t>**</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ind w:left="0" w:leftChars="0" w:right="0" w:rightChars="0"/>
              <w:jc w:val="center"/>
              <w:outlineLvl w:val="9"/>
              <w:rPr>
                <w:rFonts w:hint="eastAsia" w:ascii="宋体" w:hAnsi="Calibri" w:eastAsia="宋体" w:cs="宋体"/>
                <w:color w:val="000000"/>
                <w:sz w:val="20"/>
                <w:szCs w:val="20"/>
                <w:highlight w:val="none"/>
                <w:lang w:val="en-US" w:eastAsia="zh-CN"/>
              </w:rPr>
            </w:pPr>
          </w:p>
        </w:tc>
      </w:tr>
      <w:tr>
        <w:tblPrEx>
          <w:tblLayout w:type="fixed"/>
          <w:tblCellMar>
            <w:top w:w="0" w:type="dxa"/>
            <w:left w:w="108" w:type="dxa"/>
            <w:bottom w:w="0" w:type="dxa"/>
            <w:right w:w="108" w:type="dxa"/>
          </w:tblCellMar>
        </w:tblPrEx>
        <w:trPr>
          <w:trHeight w:val="786" w:hRule="atLeast"/>
        </w:trPr>
        <w:tc>
          <w:tcPr>
            <w:tcW w:w="628"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jc w:val="left"/>
              <w:outlineLvl w:val="9"/>
              <w:rPr>
                <w:rFonts w:ascii="宋体" w:hAnsi="Calibri" w:cs="宋体"/>
                <w:color w:val="000000"/>
                <w:sz w:val="22"/>
                <w:highlight w:val="none"/>
              </w:rPr>
            </w:pPr>
          </w:p>
        </w:tc>
        <w:tc>
          <w:tcPr>
            <w:tcW w:w="1104"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jc w:val="left"/>
              <w:outlineLvl w:val="9"/>
              <w:rPr>
                <w:rFonts w:ascii="宋体" w:hAnsi="Calibri" w:cs="宋体"/>
                <w:color w:val="000000"/>
                <w:sz w:val="22"/>
                <w:highlight w:val="none"/>
              </w:rPr>
            </w:pPr>
          </w:p>
        </w:tc>
        <w:tc>
          <w:tcPr>
            <w:tcW w:w="287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jc w:val="both"/>
              <w:textAlignment w:val="center"/>
              <w:outlineLvl w:val="9"/>
              <w:rPr>
                <w:rFonts w:ascii="宋体" w:hAnsi="Calibri" w:cs="宋体"/>
                <w:color w:val="000000"/>
                <w:sz w:val="18"/>
                <w:szCs w:val="18"/>
                <w:highlight w:val="none"/>
              </w:rPr>
            </w:pPr>
            <w:r>
              <w:rPr>
                <w:rFonts w:hint="eastAsia" w:ascii="宋体" w:hAnsi="宋体" w:cs="宋体"/>
                <w:color w:val="000000"/>
                <w:kern w:val="0"/>
                <w:sz w:val="18"/>
                <w:szCs w:val="18"/>
                <w:highlight w:val="none"/>
                <w:lang w:val="en-US" w:eastAsia="zh-CN"/>
              </w:rPr>
              <w:t xml:space="preserve"> </w:t>
            </w:r>
            <w:r>
              <w:rPr>
                <w:rFonts w:hint="eastAsia" w:ascii="宋体" w:hAnsi="宋体" w:cs="宋体"/>
                <w:color w:val="000000"/>
                <w:kern w:val="0"/>
                <w:sz w:val="18"/>
                <w:szCs w:val="18"/>
                <w:highlight w:val="none"/>
              </w:rPr>
              <w:t>干燥无灰基挥发分Vdaf（%）</w:t>
            </w:r>
          </w:p>
        </w:tc>
        <w:tc>
          <w:tcPr>
            <w:tcW w:w="133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ind w:left="0" w:leftChars="0" w:right="0" w:rightChars="0"/>
              <w:outlineLvl w:val="9"/>
              <w:rPr>
                <w:rFonts w:ascii="宋体" w:hAnsi="Calibri" w:cs="宋体"/>
                <w:color w:val="000000"/>
                <w:sz w:val="22"/>
                <w:highlight w:val="none"/>
              </w:rPr>
            </w:pPr>
            <w:r>
              <w:rPr>
                <w:rFonts w:hint="eastAsia" w:ascii="宋体" w:hAnsi="Calibri" w:cs="宋体"/>
                <w:color w:val="000000"/>
                <w:sz w:val="22"/>
                <w:highlight w:val="none"/>
              </w:rPr>
              <w:t>**</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ind w:left="0" w:leftChars="0" w:right="0" w:rightChars="0"/>
              <w:jc w:val="center"/>
              <w:outlineLvl w:val="9"/>
              <w:rPr>
                <w:rFonts w:hint="eastAsia" w:ascii="宋体" w:hAnsi="Calibri" w:cs="宋体"/>
                <w:b/>
                <w:bCs/>
                <w:color w:val="000000"/>
                <w:sz w:val="18"/>
                <w:szCs w:val="18"/>
                <w:highlight w:val="none"/>
                <w:lang w:val="en-US" w:eastAsia="zh-CN"/>
              </w:rPr>
            </w:pPr>
            <w:r>
              <w:rPr>
                <w:rFonts w:hint="eastAsia" w:ascii="宋体" w:hAnsi="Calibri" w:cs="宋体"/>
                <w:b/>
                <w:bCs/>
                <w:color w:val="000000"/>
                <w:sz w:val="18"/>
                <w:szCs w:val="18"/>
                <w:highlight w:val="none"/>
                <w:lang w:val="en-US" w:eastAsia="zh-CN"/>
              </w:rPr>
              <w:t>Vdaf≥18%</w:t>
            </w:r>
          </w:p>
          <w:p>
            <w:pPr>
              <w:keepNext w:val="0"/>
              <w:keepLines w:val="0"/>
              <w:pageBreakBefore w:val="0"/>
              <w:kinsoku/>
              <w:wordWrap/>
              <w:overflowPunct/>
              <w:topLinePunct w:val="0"/>
              <w:autoSpaceDE/>
              <w:autoSpaceDN/>
              <w:bidi w:val="0"/>
              <w:adjustRightInd/>
              <w:snapToGrid/>
              <w:spacing w:line="240" w:lineRule="atLeast"/>
              <w:ind w:left="0" w:leftChars="0" w:right="0" w:rightChars="0"/>
              <w:jc w:val="center"/>
              <w:outlineLvl w:val="9"/>
              <w:rPr>
                <w:rFonts w:ascii="宋体" w:hAnsi="Calibri" w:cs="宋体"/>
                <w:color w:val="000000"/>
                <w:sz w:val="20"/>
                <w:szCs w:val="20"/>
                <w:highlight w:val="none"/>
              </w:rPr>
            </w:pPr>
            <w:r>
              <w:rPr>
                <w:rFonts w:hint="eastAsia" w:ascii="宋体" w:hAnsi="Calibri" w:cs="宋体"/>
                <w:color w:val="FF0000"/>
                <w:sz w:val="18"/>
                <w:szCs w:val="18"/>
                <w:highlight w:val="none"/>
                <w:lang w:val="en-US" w:eastAsia="zh-CN"/>
              </w:rPr>
              <w:t>（当单批次Vdaf＜14%时，单价下浮100元/吨单独结算）</w:t>
            </w:r>
          </w:p>
        </w:tc>
      </w:tr>
      <w:tr>
        <w:tblPrEx>
          <w:tblLayout w:type="fixed"/>
          <w:tblCellMar>
            <w:top w:w="0" w:type="dxa"/>
            <w:left w:w="108" w:type="dxa"/>
            <w:bottom w:w="0" w:type="dxa"/>
            <w:right w:w="108" w:type="dxa"/>
          </w:tblCellMar>
        </w:tblPrEx>
        <w:trPr>
          <w:trHeight w:val="350" w:hRule="atLeast"/>
        </w:trPr>
        <w:tc>
          <w:tcPr>
            <w:tcW w:w="628" w:type="dxa"/>
            <w:tcBorders>
              <w:top w:val="single" w:color="000000" w:sz="4" w:space="0"/>
              <w:left w:val="single" w:color="000000" w:sz="4" w:space="0"/>
              <w:right w:val="single" w:color="000000" w:sz="4"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jc w:val="center"/>
              <w:textAlignment w:val="center"/>
              <w:outlineLvl w:val="9"/>
              <w:rPr>
                <w:rFonts w:ascii="宋体" w:hAnsi="Calibri" w:cs="宋体"/>
                <w:color w:val="000000"/>
                <w:sz w:val="22"/>
                <w:highlight w:val="none"/>
              </w:rPr>
            </w:pPr>
            <w:r>
              <w:rPr>
                <w:rFonts w:hint="eastAsia" w:ascii="宋体" w:hAnsi="宋体" w:cs="宋体"/>
                <w:color w:val="000000"/>
                <w:kern w:val="0"/>
                <w:sz w:val="22"/>
                <w:highlight w:val="none"/>
              </w:rPr>
              <w:t>2</w:t>
            </w:r>
          </w:p>
        </w:tc>
        <w:tc>
          <w:tcPr>
            <w:tcW w:w="1104" w:type="dxa"/>
            <w:tcBorders>
              <w:top w:val="single" w:color="000000" w:sz="4" w:space="0"/>
              <w:left w:val="single" w:color="000000" w:sz="4" w:space="0"/>
              <w:right w:val="single" w:color="000000" w:sz="4"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jc w:val="center"/>
              <w:textAlignment w:val="center"/>
              <w:outlineLvl w:val="9"/>
              <w:rPr>
                <w:rFonts w:ascii="宋体" w:hAnsi="Calibri" w:cs="宋体"/>
                <w:color w:val="000000"/>
                <w:sz w:val="22"/>
                <w:highlight w:val="none"/>
              </w:rPr>
            </w:pPr>
            <w:r>
              <w:rPr>
                <w:rFonts w:hint="eastAsia" w:ascii="宋体" w:hAnsi="宋体" w:cs="宋体"/>
                <w:color w:val="000000"/>
                <w:kern w:val="0"/>
                <w:sz w:val="22"/>
                <w:highlight w:val="none"/>
              </w:rPr>
              <w:t>煤炭价格</w:t>
            </w:r>
          </w:p>
        </w:tc>
        <w:tc>
          <w:tcPr>
            <w:tcW w:w="4217"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ind w:left="0" w:leftChars="0" w:right="0" w:rightChars="0"/>
              <w:jc w:val="center"/>
              <w:outlineLvl w:val="9"/>
              <w:rPr>
                <w:rFonts w:ascii="宋体" w:hAnsi="Calibri" w:cs="宋体"/>
                <w:bCs/>
                <w:color w:val="000000"/>
                <w:sz w:val="22"/>
                <w:highlight w:val="none"/>
              </w:rPr>
            </w:pPr>
            <w:r>
              <w:rPr>
                <w:rFonts w:hint="eastAsia" w:ascii="宋体" w:cs="宋体"/>
                <w:bCs/>
                <w:color w:val="000000"/>
                <w:sz w:val="22"/>
                <w:highlight w:val="none"/>
              </w:rPr>
              <w:t>**元/大卡·吨</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ind w:left="0" w:leftChars="0" w:right="0" w:rightChars="0"/>
              <w:jc w:val="center"/>
              <w:outlineLvl w:val="9"/>
              <w:rPr>
                <w:rFonts w:ascii="宋体" w:hAnsi="Calibri" w:cs="宋体"/>
                <w:color w:val="000000"/>
                <w:sz w:val="20"/>
                <w:szCs w:val="20"/>
                <w:highlight w:val="none"/>
              </w:rPr>
            </w:pPr>
            <w:r>
              <w:rPr>
                <w:rFonts w:hint="eastAsia" w:ascii="宋体" w:hAnsi="Calibri" w:cs="宋体"/>
                <w:color w:val="000000"/>
                <w:sz w:val="20"/>
                <w:szCs w:val="20"/>
                <w:highlight w:val="none"/>
              </w:rPr>
              <w:t>**票结算</w:t>
            </w:r>
          </w:p>
        </w:tc>
      </w:tr>
      <w:tr>
        <w:tblPrEx>
          <w:tblLayout w:type="fixed"/>
          <w:tblCellMar>
            <w:top w:w="0" w:type="dxa"/>
            <w:left w:w="108" w:type="dxa"/>
            <w:bottom w:w="0" w:type="dxa"/>
            <w:right w:w="108" w:type="dxa"/>
          </w:tblCellMar>
        </w:tblPrEx>
        <w:trPr>
          <w:trHeight w:val="350" w:hRule="atLeast"/>
        </w:trPr>
        <w:tc>
          <w:tcPr>
            <w:tcW w:w="62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jc w:val="center"/>
              <w:textAlignment w:val="center"/>
              <w:outlineLvl w:val="9"/>
              <w:rPr>
                <w:rFonts w:ascii="宋体" w:hAnsi="宋体" w:cs="宋体"/>
                <w:color w:val="000000"/>
                <w:kern w:val="0"/>
                <w:sz w:val="22"/>
                <w:highlight w:val="none"/>
              </w:rPr>
            </w:pPr>
            <w:r>
              <w:rPr>
                <w:rFonts w:hint="eastAsia" w:ascii="宋体" w:hAnsi="宋体" w:cs="宋体"/>
                <w:color w:val="000000"/>
                <w:kern w:val="0"/>
                <w:sz w:val="22"/>
                <w:highlight w:val="none"/>
              </w:rPr>
              <w:t>3</w:t>
            </w:r>
          </w:p>
        </w:tc>
        <w:tc>
          <w:tcPr>
            <w:tcW w:w="11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jc w:val="center"/>
              <w:textAlignment w:val="center"/>
              <w:outlineLvl w:val="9"/>
              <w:rPr>
                <w:rFonts w:ascii="宋体" w:hAnsi="宋体" w:cs="宋体"/>
                <w:color w:val="000000"/>
                <w:kern w:val="0"/>
                <w:sz w:val="22"/>
                <w:highlight w:val="none"/>
              </w:rPr>
            </w:pPr>
            <w:r>
              <w:rPr>
                <w:rFonts w:hint="eastAsia" w:ascii="宋体" w:hAnsi="宋体" w:cs="宋体"/>
                <w:color w:val="000000"/>
                <w:kern w:val="0"/>
                <w:sz w:val="22"/>
                <w:highlight w:val="none"/>
              </w:rPr>
              <w:t>合同数量</w:t>
            </w:r>
          </w:p>
        </w:tc>
        <w:tc>
          <w:tcPr>
            <w:tcW w:w="4217"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ind w:left="0" w:leftChars="0" w:right="0" w:rightChars="0"/>
              <w:jc w:val="center"/>
              <w:outlineLvl w:val="9"/>
              <w:rPr>
                <w:rFonts w:ascii="宋体" w:hAnsi="Calibri" w:cs="宋体"/>
                <w:color w:val="000000"/>
                <w:sz w:val="22"/>
                <w:highlight w:val="none"/>
              </w:rPr>
            </w:pPr>
            <w:r>
              <w:rPr>
                <w:rFonts w:hint="eastAsia" w:ascii="宋体" w:cs="宋体"/>
                <w:color w:val="000000"/>
                <w:sz w:val="22"/>
                <w:highlight w:val="none"/>
              </w:rPr>
              <w:t>**吨</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ind w:left="0" w:leftChars="0" w:right="0" w:rightChars="0"/>
              <w:jc w:val="center"/>
              <w:outlineLvl w:val="9"/>
              <w:rPr>
                <w:rFonts w:ascii="宋体" w:hAnsi="Calibri" w:cs="宋体"/>
                <w:color w:val="000000"/>
                <w:sz w:val="20"/>
                <w:szCs w:val="20"/>
                <w:highlight w:val="none"/>
              </w:rPr>
            </w:pPr>
            <w:r>
              <w:rPr>
                <w:rFonts w:hint="eastAsia" w:ascii="宋体" w:hAnsi="Calibri" w:cs="宋体"/>
                <w:color w:val="000000"/>
                <w:sz w:val="20"/>
                <w:szCs w:val="20"/>
                <w:highlight w:val="none"/>
                <w:lang w:val="en-US" w:eastAsia="zh-CN"/>
              </w:rPr>
              <w:t>±10%</w:t>
            </w:r>
          </w:p>
        </w:tc>
      </w:tr>
      <w:tr>
        <w:tblPrEx>
          <w:tblLayout w:type="fixed"/>
          <w:tblCellMar>
            <w:top w:w="0" w:type="dxa"/>
            <w:left w:w="108" w:type="dxa"/>
            <w:bottom w:w="0" w:type="dxa"/>
            <w:right w:w="108" w:type="dxa"/>
          </w:tblCellMar>
        </w:tblPrEx>
        <w:trPr>
          <w:trHeight w:val="330" w:hRule="atLeast"/>
        </w:trPr>
        <w:tc>
          <w:tcPr>
            <w:tcW w:w="62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jc w:val="center"/>
              <w:textAlignment w:val="center"/>
              <w:outlineLvl w:val="9"/>
              <w:rPr>
                <w:rFonts w:ascii="宋体" w:hAnsi="宋体" w:cs="宋体"/>
                <w:color w:val="000000"/>
                <w:kern w:val="0"/>
                <w:sz w:val="22"/>
                <w:highlight w:val="none"/>
              </w:rPr>
            </w:pPr>
            <w:r>
              <w:rPr>
                <w:rFonts w:hint="eastAsia" w:ascii="宋体" w:hAnsi="宋体" w:cs="宋体"/>
                <w:color w:val="000000"/>
                <w:kern w:val="0"/>
                <w:sz w:val="22"/>
                <w:highlight w:val="none"/>
              </w:rPr>
              <w:t>4</w:t>
            </w:r>
          </w:p>
        </w:tc>
        <w:tc>
          <w:tcPr>
            <w:tcW w:w="11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jc w:val="center"/>
              <w:textAlignment w:val="center"/>
              <w:outlineLvl w:val="9"/>
              <w:rPr>
                <w:rFonts w:ascii="宋体" w:hAnsi="宋体" w:cs="宋体"/>
                <w:color w:val="000000"/>
                <w:kern w:val="0"/>
                <w:sz w:val="22"/>
                <w:highlight w:val="none"/>
              </w:rPr>
            </w:pPr>
            <w:r>
              <w:rPr>
                <w:rFonts w:hint="eastAsia" w:ascii="宋体" w:hAnsi="宋体" w:cs="宋体"/>
                <w:color w:val="000000"/>
                <w:kern w:val="0"/>
                <w:sz w:val="22"/>
                <w:highlight w:val="none"/>
              </w:rPr>
              <w:t>到站</w:t>
            </w:r>
          </w:p>
        </w:tc>
        <w:tc>
          <w:tcPr>
            <w:tcW w:w="4217"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ind w:left="0" w:leftChars="0" w:right="0" w:rightChars="0"/>
              <w:jc w:val="center"/>
              <w:outlineLvl w:val="9"/>
              <w:rPr>
                <w:rFonts w:ascii="宋体" w:cs="宋体"/>
                <w:color w:val="000000"/>
                <w:sz w:val="22"/>
                <w:highlight w:val="none"/>
              </w:rPr>
            </w:pPr>
            <w:r>
              <w:rPr>
                <w:rFonts w:hint="eastAsia" w:ascii="宋体" w:cs="宋体"/>
                <w:color w:val="000000"/>
                <w:sz w:val="22"/>
                <w:highlight w:val="none"/>
              </w:rPr>
              <w:t>羊坪（贵州黔东电力有限公司专用线）</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ind w:left="0" w:leftChars="0" w:right="0" w:rightChars="0"/>
              <w:jc w:val="center"/>
              <w:outlineLvl w:val="9"/>
              <w:rPr>
                <w:rFonts w:ascii="宋体" w:hAnsi="Calibri" w:cs="宋体"/>
                <w:color w:val="000000"/>
                <w:sz w:val="20"/>
                <w:szCs w:val="20"/>
                <w:highlight w:val="none"/>
              </w:rPr>
            </w:pPr>
          </w:p>
        </w:tc>
      </w:tr>
      <w:tr>
        <w:tblPrEx>
          <w:tblLayout w:type="fixed"/>
          <w:tblCellMar>
            <w:top w:w="0" w:type="dxa"/>
            <w:left w:w="108" w:type="dxa"/>
            <w:bottom w:w="0" w:type="dxa"/>
            <w:right w:w="108" w:type="dxa"/>
          </w:tblCellMar>
        </w:tblPrEx>
        <w:trPr>
          <w:trHeight w:val="290" w:hRule="atLeast"/>
        </w:trPr>
        <w:tc>
          <w:tcPr>
            <w:tcW w:w="62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jc w:val="center"/>
              <w:textAlignment w:val="center"/>
              <w:outlineLvl w:val="9"/>
              <w:rPr>
                <w:rFonts w:ascii="宋体" w:hAnsi="Calibri" w:cs="宋体"/>
                <w:color w:val="000000"/>
                <w:sz w:val="22"/>
                <w:highlight w:val="none"/>
              </w:rPr>
            </w:pPr>
            <w:r>
              <w:rPr>
                <w:rFonts w:hint="eastAsia" w:ascii="宋体" w:hAnsi="宋体" w:cs="宋体"/>
                <w:color w:val="000000"/>
                <w:kern w:val="0"/>
                <w:sz w:val="22"/>
                <w:highlight w:val="none"/>
              </w:rPr>
              <w:t>5</w:t>
            </w:r>
          </w:p>
        </w:tc>
        <w:tc>
          <w:tcPr>
            <w:tcW w:w="11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jc w:val="center"/>
              <w:textAlignment w:val="center"/>
              <w:outlineLvl w:val="9"/>
              <w:rPr>
                <w:rFonts w:ascii="宋体" w:hAnsi="Calibri" w:cs="宋体"/>
                <w:color w:val="000000"/>
                <w:sz w:val="22"/>
                <w:highlight w:val="none"/>
              </w:rPr>
            </w:pPr>
            <w:r>
              <w:rPr>
                <w:rFonts w:hint="eastAsia" w:ascii="宋体" w:hAnsi="宋体" w:cs="宋体"/>
                <w:color w:val="000000"/>
                <w:kern w:val="0"/>
                <w:sz w:val="22"/>
              </w:rPr>
              <w:t>发站属地</w:t>
            </w:r>
          </w:p>
        </w:tc>
        <w:tc>
          <w:tcPr>
            <w:tcW w:w="4217"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ind w:left="0" w:leftChars="0" w:right="0" w:rightChars="0"/>
              <w:jc w:val="center"/>
              <w:outlineLvl w:val="9"/>
              <w:rPr>
                <w:rFonts w:ascii="宋体" w:hAnsi="Calibri" w:cs="宋体"/>
                <w:color w:val="000000"/>
                <w:sz w:val="22"/>
                <w:highlight w:val="none"/>
              </w:rPr>
            </w:pPr>
            <w:r>
              <w:rPr>
                <w:rFonts w:hint="eastAsia" w:ascii="宋体" w:hAnsi="Calibri" w:cs="宋体"/>
                <w:color w:val="000000"/>
                <w:sz w:val="22"/>
              </w:rPr>
              <w:t>**省、**省、**省</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ind w:left="0" w:leftChars="0" w:right="0" w:rightChars="0"/>
              <w:jc w:val="center"/>
              <w:outlineLvl w:val="9"/>
              <w:rPr>
                <w:rFonts w:ascii="宋体" w:hAnsi="Calibri" w:cs="宋体"/>
                <w:color w:val="000000"/>
                <w:sz w:val="20"/>
                <w:szCs w:val="20"/>
                <w:highlight w:val="none"/>
              </w:rPr>
            </w:pPr>
          </w:p>
        </w:tc>
      </w:tr>
    </w:tbl>
    <w:p>
      <w:pPr>
        <w:keepNext w:val="0"/>
        <w:keepLines w:val="0"/>
        <w:pageBreakBefore w:val="0"/>
        <w:widowControl w:val="0"/>
        <w:kinsoku/>
        <w:wordWrap/>
        <w:overflowPunct/>
        <w:topLinePunct w:val="0"/>
        <w:autoSpaceDE/>
        <w:autoSpaceDN/>
        <w:bidi w:val="0"/>
        <w:adjustRightInd/>
        <w:snapToGrid/>
        <w:spacing w:line="120" w:lineRule="auto"/>
        <w:ind w:left="0" w:leftChars="0" w:right="0" w:rightChars="0"/>
        <w:jc w:val="left"/>
        <w:textAlignment w:val="auto"/>
        <w:outlineLvl w:val="9"/>
        <w:rPr>
          <w:rFonts w:ascii="宋体" w:hAnsi="宋体"/>
          <w:b/>
          <w:bCs/>
          <w:color w:val="FF0000"/>
          <w:sz w:val="24"/>
          <w:szCs w:val="24"/>
        </w:rPr>
      </w:pPr>
      <w:r>
        <w:rPr>
          <w:rFonts w:hint="eastAsia" w:ascii="宋体" w:hAnsi="宋体"/>
          <w:b/>
          <w:sz w:val="24"/>
          <w:szCs w:val="24"/>
        </w:rPr>
        <w:t>注：</w:t>
      </w:r>
      <w:r>
        <w:rPr>
          <w:rFonts w:hint="eastAsia" w:ascii="宋体" w:hAnsi="宋体"/>
          <w:bCs/>
          <w:sz w:val="24"/>
          <w:szCs w:val="24"/>
        </w:rPr>
        <w:t>1</w:t>
      </w:r>
      <w:r>
        <w:rPr>
          <w:rFonts w:hint="eastAsia" w:ascii="宋体" w:hAnsi="宋体"/>
          <w:sz w:val="24"/>
          <w:szCs w:val="24"/>
        </w:rPr>
        <w:t>、本次投标每一煤种只允许报价一次，</w:t>
      </w:r>
      <w:r>
        <w:rPr>
          <w:rFonts w:hint="eastAsia" w:ascii="宋体" w:hAnsi="宋体"/>
          <w:b/>
          <w:bCs/>
          <w:color w:val="FF0000"/>
          <w:sz w:val="24"/>
          <w:szCs w:val="24"/>
        </w:rPr>
        <w:t>报价两次及以上视为无效报价（报价函内容完全相同除外）；</w:t>
      </w:r>
    </w:p>
    <w:p>
      <w:pPr>
        <w:keepNext w:val="0"/>
        <w:keepLines w:val="0"/>
        <w:pageBreakBefore w:val="0"/>
        <w:widowControl w:val="0"/>
        <w:numPr>
          <w:ilvl w:val="0"/>
          <w:numId w:val="1"/>
        </w:numPr>
        <w:kinsoku/>
        <w:wordWrap/>
        <w:overflowPunct/>
        <w:topLinePunct w:val="0"/>
        <w:autoSpaceDE/>
        <w:autoSpaceDN/>
        <w:bidi w:val="0"/>
        <w:adjustRightInd/>
        <w:snapToGrid/>
        <w:spacing w:line="120" w:lineRule="auto"/>
        <w:ind w:left="0" w:leftChars="0" w:right="0" w:rightChars="0" w:firstLine="480" w:firstLineChars="200"/>
        <w:jc w:val="left"/>
        <w:textAlignment w:val="auto"/>
        <w:outlineLvl w:val="9"/>
        <w:rPr>
          <w:rFonts w:ascii="宋体" w:hAnsi="宋体"/>
          <w:sz w:val="24"/>
          <w:szCs w:val="24"/>
        </w:rPr>
      </w:pPr>
      <w:r>
        <w:rPr>
          <w:rFonts w:hint="eastAsia" w:ascii="宋体" w:hAnsi="宋体"/>
          <w:sz w:val="24"/>
          <w:szCs w:val="24"/>
        </w:rPr>
        <w:t>热值、含硫、挥发</w:t>
      </w:r>
      <w:r>
        <w:rPr>
          <w:rFonts w:hint="eastAsia" w:ascii="宋体" w:hAnsi="宋体"/>
          <w:sz w:val="24"/>
          <w:szCs w:val="24"/>
          <w:lang w:eastAsia="zh-CN"/>
        </w:rPr>
        <w:t>分</w:t>
      </w:r>
      <w:r>
        <w:rPr>
          <w:rFonts w:hint="eastAsia" w:ascii="宋体" w:hAnsi="宋体"/>
          <w:sz w:val="24"/>
          <w:szCs w:val="24"/>
        </w:rPr>
        <w:t>、供应量都应为预测单一数值</w:t>
      </w:r>
      <w:r>
        <w:rPr>
          <w:rFonts w:hint="eastAsia" w:ascii="宋体" w:hAnsi="宋体"/>
          <w:b/>
          <w:bCs/>
          <w:color w:val="FF0000"/>
          <w:sz w:val="24"/>
          <w:szCs w:val="24"/>
        </w:rPr>
        <w:t>（如：热值5500大卡；含硫3.5%；挥发</w:t>
      </w:r>
      <w:r>
        <w:rPr>
          <w:rFonts w:hint="eastAsia" w:ascii="宋体" w:hAnsi="宋体"/>
          <w:b/>
          <w:bCs/>
          <w:color w:val="FF0000"/>
          <w:sz w:val="24"/>
          <w:szCs w:val="24"/>
          <w:lang w:eastAsia="zh-CN"/>
        </w:rPr>
        <w:t>分</w:t>
      </w:r>
      <w:r>
        <w:rPr>
          <w:rFonts w:hint="eastAsia" w:ascii="宋体" w:hAnsi="宋体"/>
          <w:b/>
          <w:bCs/>
          <w:color w:val="FF0000"/>
          <w:sz w:val="24"/>
          <w:szCs w:val="24"/>
        </w:rPr>
        <w:t>10%）</w:t>
      </w:r>
      <w:r>
        <w:rPr>
          <w:rFonts w:hint="eastAsia" w:ascii="宋体" w:hAnsi="宋体"/>
          <w:sz w:val="24"/>
          <w:szCs w:val="24"/>
        </w:rPr>
        <w:t>，</w:t>
      </w:r>
      <w:r>
        <w:rPr>
          <w:rFonts w:hint="eastAsia" w:ascii="宋体" w:hAnsi="宋体"/>
          <w:b/>
          <w:bCs/>
          <w:color w:val="FF0000"/>
          <w:sz w:val="24"/>
          <w:szCs w:val="24"/>
        </w:rPr>
        <w:t>不应为区间较大的范围值，不能有大于和小于符号。</w:t>
      </w:r>
      <w:r>
        <w:rPr>
          <w:rFonts w:hint="eastAsia" w:ascii="宋体" w:hAnsi="宋体"/>
          <w:sz w:val="24"/>
          <w:szCs w:val="24"/>
        </w:rPr>
        <w:t>买方允许数量偏差为±10%，质量偏差为：热值-300大卡，含硫+0.5%，挥发</w:t>
      </w:r>
      <w:r>
        <w:rPr>
          <w:rFonts w:hint="eastAsia" w:ascii="宋体" w:hAnsi="宋体"/>
          <w:sz w:val="24"/>
          <w:szCs w:val="24"/>
          <w:lang w:eastAsia="zh-CN"/>
        </w:rPr>
        <w:t>分</w:t>
      </w:r>
      <w:r>
        <w:rPr>
          <w:rFonts w:hint="eastAsia" w:ascii="宋体" w:hAnsi="宋体"/>
          <w:sz w:val="24"/>
          <w:szCs w:val="24"/>
        </w:rPr>
        <w:t>-2%，超出允许偏差考核；</w:t>
      </w:r>
    </w:p>
    <w:p>
      <w:pPr>
        <w:keepNext w:val="0"/>
        <w:keepLines w:val="0"/>
        <w:pageBreakBefore w:val="0"/>
        <w:widowControl w:val="0"/>
        <w:kinsoku/>
        <w:wordWrap/>
        <w:overflowPunct/>
        <w:topLinePunct w:val="0"/>
        <w:autoSpaceDE/>
        <w:autoSpaceDN/>
        <w:bidi w:val="0"/>
        <w:adjustRightInd/>
        <w:snapToGrid/>
        <w:spacing w:line="120" w:lineRule="auto"/>
        <w:ind w:left="0" w:leftChars="0" w:right="0" w:rightChars="0" w:firstLine="480" w:firstLineChars="200"/>
        <w:jc w:val="left"/>
        <w:textAlignment w:val="auto"/>
        <w:outlineLvl w:val="9"/>
        <w:rPr>
          <w:rFonts w:ascii="宋体" w:hAnsi="宋体"/>
          <w:sz w:val="24"/>
          <w:szCs w:val="24"/>
        </w:rPr>
      </w:pPr>
      <w:r>
        <w:rPr>
          <w:rFonts w:hint="eastAsia" w:ascii="宋体" w:hAnsi="宋体"/>
          <w:sz w:val="24"/>
          <w:szCs w:val="24"/>
        </w:rPr>
        <w:t>3、煤炭价格请在备注栏中明确一票结算或两票结算；</w:t>
      </w:r>
    </w:p>
    <w:p>
      <w:pPr>
        <w:keepNext w:val="0"/>
        <w:keepLines w:val="0"/>
        <w:pageBreakBefore w:val="0"/>
        <w:widowControl w:val="0"/>
        <w:kinsoku/>
        <w:wordWrap/>
        <w:overflowPunct/>
        <w:topLinePunct w:val="0"/>
        <w:autoSpaceDE/>
        <w:autoSpaceDN/>
        <w:bidi w:val="0"/>
        <w:adjustRightInd/>
        <w:snapToGrid/>
        <w:spacing w:line="120" w:lineRule="auto"/>
        <w:ind w:left="0" w:leftChars="0" w:right="0" w:rightChars="0" w:firstLine="480" w:firstLineChars="200"/>
        <w:jc w:val="left"/>
        <w:textAlignment w:val="auto"/>
        <w:outlineLvl w:val="9"/>
        <w:rPr>
          <w:rFonts w:ascii="宋体" w:hAnsi="宋体"/>
          <w:sz w:val="24"/>
          <w:szCs w:val="24"/>
        </w:rPr>
      </w:pPr>
      <w:r>
        <w:rPr>
          <w:rFonts w:hint="eastAsia" w:ascii="宋体" w:hAnsi="宋体"/>
          <w:sz w:val="24"/>
          <w:szCs w:val="24"/>
        </w:rPr>
        <w:t>4、报价函需</w:t>
      </w:r>
      <w:r>
        <w:rPr>
          <w:rFonts w:hint="eastAsia" w:ascii="宋体" w:hAnsi="宋体"/>
          <w:b/>
          <w:bCs/>
          <w:color w:val="FF0000"/>
          <w:sz w:val="24"/>
          <w:szCs w:val="24"/>
        </w:rPr>
        <w:t>加盖公章并签字</w:t>
      </w:r>
      <w:r>
        <w:rPr>
          <w:rFonts w:hint="eastAsia" w:ascii="宋体" w:hAnsi="宋体"/>
          <w:sz w:val="24"/>
          <w:szCs w:val="24"/>
        </w:rPr>
        <w:t>；</w:t>
      </w:r>
    </w:p>
    <w:p>
      <w:pPr>
        <w:keepNext w:val="0"/>
        <w:keepLines w:val="0"/>
        <w:pageBreakBefore w:val="0"/>
        <w:widowControl w:val="0"/>
        <w:kinsoku/>
        <w:wordWrap/>
        <w:overflowPunct/>
        <w:topLinePunct w:val="0"/>
        <w:autoSpaceDE/>
        <w:autoSpaceDN/>
        <w:bidi w:val="0"/>
        <w:adjustRightInd/>
        <w:snapToGrid/>
        <w:spacing w:line="120" w:lineRule="auto"/>
        <w:ind w:left="0" w:leftChars="0" w:right="0" w:rightChars="0" w:firstLine="480" w:firstLineChars="200"/>
        <w:textAlignment w:val="auto"/>
        <w:outlineLvl w:val="9"/>
        <w:rPr>
          <w:rFonts w:hint="eastAsia" w:ascii="宋体" w:hAnsi="宋体"/>
          <w:sz w:val="24"/>
          <w:szCs w:val="24"/>
          <w:lang w:eastAsia="zh-CN"/>
        </w:rPr>
      </w:pPr>
      <w:r>
        <w:rPr>
          <w:rFonts w:hint="eastAsia" w:ascii="宋体" w:hAnsi="宋体"/>
          <w:sz w:val="24"/>
          <w:szCs w:val="24"/>
        </w:rPr>
        <w:t>5、验收方式以到厂验收为准</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120" w:lineRule="auto"/>
        <w:ind w:left="0" w:leftChars="0" w:right="0" w:rightChars="0" w:firstLine="480" w:firstLineChars="200"/>
        <w:textAlignment w:val="auto"/>
        <w:outlineLvl w:val="9"/>
        <w:rPr>
          <w:rFonts w:ascii="宋体" w:hAnsi="宋体"/>
          <w:sz w:val="24"/>
          <w:szCs w:val="24"/>
        </w:rPr>
      </w:pPr>
      <w:r>
        <w:rPr>
          <w:rFonts w:hint="eastAsia" w:ascii="宋体" w:hAnsi="宋体"/>
          <w:sz w:val="24"/>
          <w:szCs w:val="24"/>
          <w:lang w:val="en-US" w:eastAsia="zh-CN"/>
        </w:rPr>
        <w:t>6、</w:t>
      </w:r>
      <w:r>
        <w:rPr>
          <w:rFonts w:hint="eastAsia" w:ascii="宋体" w:hAnsi="宋体"/>
          <w:sz w:val="24"/>
          <w:szCs w:val="24"/>
        </w:rPr>
        <w:t>具体条款以双方签订的合同为准</w:t>
      </w:r>
      <w:r>
        <w:rPr>
          <w:rFonts w:hint="eastAsia" w:ascii="宋体" w:hAnsi="宋体"/>
          <w:sz w:val="24"/>
          <w:szCs w:val="24"/>
          <w:lang w:eastAsia="zh-CN"/>
        </w:rPr>
        <w:t>（见附件）</w:t>
      </w:r>
      <w:r>
        <w:rPr>
          <w:rFonts w:hint="eastAsia" w:ascii="宋体" w:hAnsi="宋体"/>
          <w:sz w:val="24"/>
          <w:szCs w:val="24"/>
        </w:rPr>
        <w:t>。</w:t>
      </w:r>
    </w:p>
    <w:p>
      <w:pPr>
        <w:keepNext w:val="0"/>
        <w:keepLines w:val="0"/>
        <w:pageBreakBefore w:val="0"/>
        <w:widowControl w:val="0"/>
        <w:kinsoku/>
        <w:wordWrap/>
        <w:overflowPunct/>
        <w:topLinePunct w:val="0"/>
        <w:autoSpaceDE/>
        <w:autoSpaceDN/>
        <w:bidi w:val="0"/>
        <w:adjustRightInd/>
        <w:snapToGrid/>
        <w:spacing w:line="120" w:lineRule="auto"/>
        <w:ind w:left="0" w:leftChars="0" w:right="0" w:rightChars="0" w:firstLine="482" w:firstLineChars="200"/>
        <w:textAlignment w:val="auto"/>
        <w:outlineLvl w:val="9"/>
        <w:rPr>
          <w:rFonts w:ascii="宋体" w:hAnsi="宋体"/>
          <w:sz w:val="24"/>
          <w:szCs w:val="24"/>
        </w:rPr>
      </w:pPr>
      <w:r>
        <w:rPr>
          <w:rFonts w:hint="eastAsia" w:ascii="宋体" w:hAnsi="宋体"/>
          <w:b/>
          <w:sz w:val="24"/>
          <w:szCs w:val="24"/>
        </w:rPr>
        <w:t>我公司郑重承诺：</w:t>
      </w:r>
      <w:r>
        <w:rPr>
          <w:rFonts w:hint="eastAsia" w:ascii="宋体" w:hAnsi="宋体"/>
          <w:sz w:val="24"/>
          <w:szCs w:val="24"/>
        </w:rPr>
        <w:t>实际到厂加权热值、加权含硫、加权挥发</w:t>
      </w:r>
      <w:r>
        <w:rPr>
          <w:rFonts w:hint="eastAsia" w:ascii="宋体" w:hAnsi="宋体"/>
          <w:sz w:val="24"/>
          <w:szCs w:val="24"/>
          <w:lang w:eastAsia="zh-CN"/>
        </w:rPr>
        <w:t>分</w:t>
      </w:r>
      <w:r>
        <w:rPr>
          <w:rFonts w:hint="eastAsia" w:ascii="宋体" w:hAnsi="宋体"/>
          <w:sz w:val="24"/>
          <w:szCs w:val="24"/>
        </w:rPr>
        <w:t>、供应量与上述报价内容偏差不超过贵公司合同约定，如超过则按贵公司合同约定考核。</w:t>
      </w:r>
    </w:p>
    <w:p>
      <w:pPr>
        <w:keepNext w:val="0"/>
        <w:keepLines w:val="0"/>
        <w:pageBreakBefore w:val="0"/>
        <w:widowControl w:val="0"/>
        <w:kinsoku/>
        <w:wordWrap/>
        <w:overflowPunct/>
        <w:topLinePunct w:val="0"/>
        <w:autoSpaceDE/>
        <w:autoSpaceDN/>
        <w:bidi w:val="0"/>
        <w:adjustRightInd/>
        <w:snapToGrid/>
        <w:spacing w:line="120" w:lineRule="auto"/>
        <w:ind w:left="0" w:leftChars="0" w:right="0" w:rightChars="0" w:firstLine="470" w:firstLineChars="196"/>
        <w:textAlignment w:val="auto"/>
        <w:outlineLvl w:val="9"/>
        <w:rPr>
          <w:rFonts w:ascii="宋体" w:hAnsi="宋体"/>
          <w:sz w:val="24"/>
          <w:szCs w:val="24"/>
        </w:rPr>
      </w:pPr>
      <w:r>
        <w:rPr>
          <w:rFonts w:hint="eastAsia" w:ascii="宋体" w:hAnsi="宋体"/>
          <w:sz w:val="24"/>
          <w:szCs w:val="24"/>
        </w:rPr>
        <w:t>报价单位：</w:t>
      </w:r>
      <w:r>
        <w:rPr>
          <w:rFonts w:hint="eastAsia" w:ascii="宋体" w:hAnsi="宋体"/>
          <w:sz w:val="24"/>
          <w:szCs w:val="24"/>
          <w:u w:val="single"/>
        </w:rPr>
        <w:t>**公司</w:t>
      </w:r>
      <w:r>
        <w:rPr>
          <w:rFonts w:ascii="宋体" w:hAnsi="宋体"/>
          <w:sz w:val="24"/>
          <w:szCs w:val="24"/>
          <w:u w:val="single"/>
        </w:rPr>
        <w:t>(</w:t>
      </w:r>
      <w:r>
        <w:rPr>
          <w:rFonts w:hint="eastAsia" w:ascii="宋体" w:hAnsi="宋体"/>
          <w:sz w:val="24"/>
          <w:szCs w:val="24"/>
          <w:u w:val="single"/>
        </w:rPr>
        <w:t>全称</w:t>
      </w:r>
      <w:r>
        <w:rPr>
          <w:rFonts w:ascii="宋体" w:hAnsi="宋体"/>
          <w:sz w:val="24"/>
          <w:szCs w:val="24"/>
          <w:u w:val="single"/>
        </w:rPr>
        <w:t xml:space="preserve">)        </w:t>
      </w:r>
      <w:r>
        <w:rPr>
          <w:rFonts w:hint="eastAsia" w:ascii="宋体" w:hAnsi="宋体"/>
          <w:sz w:val="24"/>
          <w:szCs w:val="24"/>
        </w:rPr>
        <w:t>（盖章）</w:t>
      </w:r>
    </w:p>
    <w:p>
      <w:pPr>
        <w:keepNext w:val="0"/>
        <w:keepLines w:val="0"/>
        <w:pageBreakBefore w:val="0"/>
        <w:widowControl w:val="0"/>
        <w:kinsoku/>
        <w:wordWrap/>
        <w:overflowPunct/>
        <w:topLinePunct w:val="0"/>
        <w:autoSpaceDE/>
        <w:autoSpaceDN/>
        <w:bidi w:val="0"/>
        <w:adjustRightInd/>
        <w:snapToGrid/>
        <w:spacing w:line="120" w:lineRule="auto"/>
        <w:ind w:left="0" w:leftChars="0" w:right="0" w:rightChars="0" w:firstLine="470" w:firstLineChars="196"/>
        <w:textAlignment w:val="auto"/>
        <w:outlineLvl w:val="9"/>
        <w:rPr>
          <w:rFonts w:ascii="宋体" w:hAnsi="宋体"/>
          <w:sz w:val="24"/>
          <w:szCs w:val="24"/>
        </w:rPr>
      </w:pPr>
      <w:r>
        <w:rPr>
          <w:rFonts w:hint="eastAsia" w:ascii="宋体" w:hAnsi="宋体"/>
          <w:sz w:val="24"/>
          <w:szCs w:val="24"/>
        </w:rPr>
        <w:t>法定代表人（或委托代理人）：（签字）</w:t>
      </w:r>
    </w:p>
    <w:p>
      <w:pPr>
        <w:keepNext w:val="0"/>
        <w:keepLines w:val="0"/>
        <w:pageBreakBefore w:val="0"/>
        <w:widowControl w:val="0"/>
        <w:kinsoku/>
        <w:wordWrap/>
        <w:overflowPunct/>
        <w:topLinePunct w:val="0"/>
        <w:autoSpaceDE/>
        <w:autoSpaceDN/>
        <w:bidi w:val="0"/>
        <w:adjustRightInd/>
        <w:snapToGrid/>
        <w:spacing w:line="120" w:lineRule="auto"/>
        <w:ind w:left="0" w:leftChars="0" w:right="0" w:rightChars="0" w:firstLine="470" w:firstLineChars="196"/>
        <w:textAlignment w:val="auto"/>
        <w:outlineLvl w:val="9"/>
        <w:rPr>
          <w:rFonts w:ascii="宋体" w:hAnsi="宋体"/>
          <w:sz w:val="24"/>
          <w:szCs w:val="24"/>
        </w:rPr>
      </w:pPr>
      <w:r>
        <w:rPr>
          <w:rFonts w:hint="eastAsia" w:ascii="宋体" w:hAnsi="宋体"/>
          <w:sz w:val="24"/>
          <w:szCs w:val="24"/>
        </w:rPr>
        <w:t>联系电话：</w:t>
      </w:r>
    </w:p>
    <w:p>
      <w:pPr>
        <w:spacing w:line="240" w:lineRule="exact"/>
        <w:ind w:firstLine="470" w:firstLineChars="196"/>
        <w:rPr>
          <w:rFonts w:ascii="宋体" w:hAnsi="宋体"/>
          <w:sz w:val="24"/>
          <w:szCs w:val="24"/>
        </w:rPr>
      </w:pPr>
    </w:p>
    <w:p>
      <w:pPr>
        <w:spacing w:line="240" w:lineRule="exact"/>
        <w:ind w:firstLine="470" w:firstLineChars="196"/>
        <w:rPr>
          <w:rFonts w:ascii="宋体" w:hAnsi="宋体"/>
          <w:sz w:val="24"/>
          <w:szCs w:val="24"/>
        </w:rPr>
      </w:pPr>
    </w:p>
    <w:p>
      <w:pPr>
        <w:spacing w:line="240" w:lineRule="exact"/>
        <w:ind w:firstLine="470" w:firstLineChars="196"/>
        <w:rPr>
          <w:rFonts w:ascii="宋体" w:hAnsi="宋体"/>
          <w:sz w:val="24"/>
          <w:szCs w:val="24"/>
        </w:rPr>
      </w:pPr>
    </w:p>
    <w:p>
      <w:pPr>
        <w:spacing w:line="240" w:lineRule="exact"/>
        <w:ind w:firstLine="470" w:firstLineChars="196"/>
        <w:jc w:val="right"/>
        <w:rPr>
          <w:rFonts w:hint="eastAsia"/>
          <w:b/>
          <w:bCs/>
          <w:color w:val="FF0000"/>
          <w:sz w:val="28"/>
          <w:szCs w:val="28"/>
        </w:rPr>
      </w:pPr>
      <w:r>
        <w:rPr>
          <w:rFonts w:hint="eastAsia" w:ascii="宋体" w:hAnsi="宋体"/>
          <w:sz w:val="24"/>
        </w:rPr>
        <w:t>202</w:t>
      </w:r>
      <w:r>
        <w:rPr>
          <w:rFonts w:hint="eastAsia" w:ascii="宋体" w:hAnsi="宋体"/>
          <w:sz w:val="24"/>
          <w:lang w:val="en-US" w:eastAsia="zh-CN"/>
        </w:rPr>
        <w:t>1</w:t>
      </w:r>
      <w:r>
        <w:rPr>
          <w:rFonts w:hint="eastAsia" w:ascii="宋体" w:hAnsi="宋体"/>
          <w:sz w:val="24"/>
        </w:rPr>
        <w:t>年XX月XX日</w:t>
      </w:r>
    </w:p>
    <w:p>
      <w:pPr>
        <w:pStyle w:val="2"/>
        <w:rPr>
          <w:b/>
          <w:bCs/>
          <w:color w:val="FF0000"/>
          <w:sz w:val="28"/>
          <w:szCs w:val="28"/>
        </w:rPr>
      </w:pPr>
      <w:r>
        <w:rPr>
          <w:rFonts w:hint="eastAsia"/>
          <w:b/>
          <w:bCs/>
          <w:color w:val="FF0000"/>
          <w:sz w:val="28"/>
          <w:szCs w:val="28"/>
        </w:rPr>
        <w:t>附件：两票结算合同模板（</w:t>
      </w:r>
      <w:r>
        <w:rPr>
          <w:rFonts w:hint="eastAsia" w:hAnsi="Calibri" w:cs="宋体"/>
          <w:b/>
          <w:bCs/>
          <w:color w:val="FF0000"/>
          <w:sz w:val="24"/>
          <w:szCs w:val="24"/>
        </w:rPr>
        <w:t>St,d≤3.5%</w:t>
      </w:r>
      <w:r>
        <w:rPr>
          <w:rFonts w:hint="eastAsia"/>
          <w:b/>
          <w:bCs/>
          <w:color w:val="FF0000"/>
          <w:sz w:val="28"/>
          <w:szCs w:val="28"/>
        </w:rPr>
        <w:t>）</w:t>
      </w:r>
    </w:p>
    <w:p>
      <w:pPr>
        <w:pStyle w:val="2"/>
      </w:pPr>
      <w:r>
        <w:drawing>
          <wp:inline distT="0" distB="0" distL="114300" distR="114300">
            <wp:extent cx="5258435" cy="658495"/>
            <wp:effectExtent l="0" t="0" r="18415" b="8255"/>
            <wp:docPr id="1" name="图片 1" descr="室外宣传栏展板抬头、电子文档抬头、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室外宣传栏展板抬头、电子文档抬头、网站"/>
                    <pic:cNvPicPr>
                      <a:picLocks noChangeAspect="1"/>
                    </pic:cNvPicPr>
                  </pic:nvPicPr>
                  <pic:blipFill>
                    <a:blip r:embed="rId10"/>
                    <a:stretch>
                      <a:fillRect/>
                    </a:stretch>
                  </pic:blipFill>
                  <pic:spPr>
                    <a:xfrm>
                      <a:off x="0" y="0"/>
                      <a:ext cx="5258435" cy="658495"/>
                    </a:xfrm>
                    <a:prstGeom prst="rect">
                      <a:avLst/>
                    </a:prstGeom>
                    <a:noFill/>
                    <a:ln w="9525">
                      <a:noFill/>
                    </a:ln>
                  </pic:spPr>
                </pic:pic>
              </a:graphicData>
            </a:graphic>
          </wp:inline>
        </w:drawing>
      </w:r>
    </w:p>
    <w:p>
      <w:pPr>
        <w:pStyle w:val="2"/>
      </w:pPr>
    </w:p>
    <w:p>
      <w:pPr>
        <w:pStyle w:val="2"/>
        <w:rPr>
          <w:sz w:val="32"/>
          <w:szCs w:val="32"/>
        </w:rPr>
      </w:pPr>
    </w:p>
    <w:p>
      <w:pPr>
        <w:pStyle w:val="2"/>
        <w:rPr>
          <w:sz w:val="32"/>
          <w:szCs w:val="32"/>
        </w:rPr>
      </w:pPr>
    </w:p>
    <w:p>
      <w:pPr>
        <w:pStyle w:val="2"/>
        <w:spacing w:line="360" w:lineRule="auto"/>
        <w:jc w:val="center"/>
        <w:rPr>
          <w:rFonts w:ascii="黑体" w:hAnsi="黑体" w:eastAsia="黑体"/>
          <w:b/>
          <w:sz w:val="52"/>
          <w:szCs w:val="52"/>
        </w:rPr>
      </w:pPr>
      <w:r>
        <w:rPr>
          <w:rFonts w:hint="eastAsia" w:ascii="黑体" w:hAnsi="黑体" w:eastAsia="黑体"/>
          <w:b/>
          <w:sz w:val="52"/>
          <w:szCs w:val="52"/>
        </w:rPr>
        <w:t>煤炭采购合同</w:t>
      </w:r>
    </w:p>
    <w:p>
      <w:pPr>
        <w:pStyle w:val="2"/>
        <w:spacing w:before="240" w:line="360" w:lineRule="auto"/>
        <w:jc w:val="center"/>
        <w:rPr>
          <w:rFonts w:ascii="黑体" w:hAnsi="黑体" w:eastAsia="黑体"/>
          <w:b/>
          <w:sz w:val="32"/>
          <w:szCs w:val="32"/>
        </w:rPr>
      </w:pPr>
      <w:r>
        <w:rPr>
          <w:rFonts w:hint="eastAsia" w:ascii="黑体" w:hAnsi="黑体" w:eastAsia="黑体"/>
          <w:b/>
          <w:sz w:val="32"/>
          <w:szCs w:val="32"/>
        </w:rPr>
        <w:t>合同编号：</w:t>
      </w:r>
      <w:r>
        <w:rPr>
          <w:rFonts w:ascii="黑体" w:hAnsi="黑体" w:eastAsia="黑体"/>
          <w:b/>
          <w:sz w:val="32"/>
          <w:szCs w:val="32"/>
        </w:rPr>
        <w:t>320113</w:t>
      </w:r>
      <w:r>
        <w:rPr>
          <w:rFonts w:hint="eastAsia" w:ascii="黑体" w:hAnsi="黑体" w:eastAsia="黑体"/>
          <w:b/>
          <w:sz w:val="32"/>
          <w:szCs w:val="32"/>
        </w:rPr>
        <w:t>-RL01202</w:t>
      </w:r>
      <w:r>
        <w:rPr>
          <w:rFonts w:hint="eastAsia" w:ascii="黑体" w:hAnsi="黑体" w:eastAsia="黑体"/>
          <w:b/>
          <w:sz w:val="32"/>
          <w:szCs w:val="32"/>
          <w:lang w:val="en-US" w:eastAsia="zh-CN"/>
        </w:rPr>
        <w:t>1</w:t>
      </w:r>
      <w:r>
        <w:rPr>
          <w:rFonts w:hint="eastAsia" w:ascii="黑体" w:hAnsi="黑体" w:eastAsia="黑体"/>
          <w:b/>
          <w:sz w:val="32"/>
          <w:szCs w:val="32"/>
        </w:rPr>
        <w:t>****</w:t>
      </w:r>
    </w:p>
    <w:p>
      <w:pPr>
        <w:pStyle w:val="2"/>
      </w:pPr>
    </w:p>
    <w:p>
      <w:pPr>
        <w:pStyle w:val="2"/>
        <w:rPr>
          <w:rFonts w:ascii="黑体" w:hAnsi="黑体" w:eastAsia="黑体"/>
          <w:b/>
          <w:sz w:val="30"/>
          <w:szCs w:val="30"/>
        </w:rPr>
      </w:pPr>
    </w:p>
    <w:p>
      <w:pPr>
        <w:pStyle w:val="2"/>
        <w:rPr>
          <w:rFonts w:ascii="黑体" w:hAnsi="黑体" w:eastAsia="黑体"/>
          <w:b/>
          <w:sz w:val="30"/>
          <w:szCs w:val="30"/>
        </w:rPr>
      </w:pPr>
    </w:p>
    <w:p>
      <w:pPr>
        <w:pStyle w:val="2"/>
        <w:rPr>
          <w:rFonts w:ascii="黑体" w:hAnsi="黑体" w:eastAsia="黑体"/>
          <w:b/>
          <w:sz w:val="30"/>
          <w:szCs w:val="30"/>
        </w:rPr>
      </w:pPr>
    </w:p>
    <w:p>
      <w:pPr>
        <w:pStyle w:val="2"/>
        <w:rPr>
          <w:rFonts w:ascii="黑体" w:hAnsi="黑体" w:eastAsia="黑体"/>
          <w:b/>
          <w:sz w:val="30"/>
          <w:szCs w:val="30"/>
        </w:rPr>
      </w:pPr>
    </w:p>
    <w:p>
      <w:pPr>
        <w:pStyle w:val="2"/>
        <w:rPr>
          <w:rFonts w:ascii="黑体" w:hAnsi="黑体" w:eastAsia="黑体"/>
          <w:b/>
          <w:sz w:val="30"/>
          <w:szCs w:val="30"/>
        </w:rPr>
      </w:pPr>
    </w:p>
    <w:p>
      <w:pPr>
        <w:pStyle w:val="2"/>
        <w:rPr>
          <w:rFonts w:ascii="黑体" w:hAnsi="黑体" w:eastAsia="黑体"/>
          <w:b/>
          <w:sz w:val="30"/>
          <w:szCs w:val="30"/>
        </w:rPr>
      </w:pPr>
    </w:p>
    <w:p>
      <w:pPr>
        <w:pStyle w:val="2"/>
        <w:spacing w:line="360" w:lineRule="auto"/>
        <w:ind w:firstLine="1285" w:firstLineChars="400"/>
        <w:rPr>
          <w:rFonts w:ascii="黑体" w:hAnsi="黑体" w:eastAsia="黑体"/>
          <w:b/>
          <w:sz w:val="32"/>
          <w:szCs w:val="32"/>
        </w:rPr>
      </w:pPr>
      <w:r>
        <w:rPr>
          <w:rFonts w:hint="eastAsia" w:ascii="黑体" w:hAnsi="黑体" w:eastAsia="黑体"/>
          <w:b/>
          <w:sz w:val="32"/>
          <w:szCs w:val="32"/>
        </w:rPr>
        <w:t>买方(甲方)</w:t>
      </w:r>
      <w:r>
        <w:rPr>
          <w:rFonts w:ascii="黑体" w:hAnsi="黑体" w:eastAsia="黑体"/>
          <w:b/>
          <w:sz w:val="32"/>
          <w:szCs w:val="32"/>
        </w:rPr>
        <w:t>：贵州黔东电力有限公司</w:t>
      </w:r>
    </w:p>
    <w:p>
      <w:pPr>
        <w:pStyle w:val="2"/>
        <w:spacing w:line="360" w:lineRule="auto"/>
        <w:ind w:firstLine="1269" w:firstLineChars="395"/>
        <w:rPr>
          <w:rFonts w:ascii="黑体" w:hAnsi="黑体" w:eastAsia="黑体"/>
          <w:b/>
          <w:sz w:val="32"/>
          <w:szCs w:val="32"/>
        </w:rPr>
      </w:pPr>
      <w:r>
        <w:rPr>
          <w:rFonts w:hint="eastAsia" w:ascii="黑体" w:hAnsi="黑体" w:eastAsia="黑体"/>
          <w:b/>
          <w:sz w:val="32"/>
          <w:szCs w:val="32"/>
        </w:rPr>
        <w:t>卖</w:t>
      </w:r>
      <w:r>
        <w:rPr>
          <w:rFonts w:ascii="黑体" w:hAnsi="黑体" w:eastAsia="黑体"/>
          <w:b/>
          <w:sz w:val="32"/>
          <w:szCs w:val="32"/>
        </w:rPr>
        <w:t>方</w:t>
      </w:r>
      <w:r>
        <w:rPr>
          <w:rFonts w:hint="eastAsia" w:ascii="黑体" w:hAnsi="黑体" w:eastAsia="黑体"/>
          <w:b/>
          <w:sz w:val="32"/>
          <w:szCs w:val="32"/>
        </w:rPr>
        <w:t>(乙方)</w:t>
      </w:r>
      <w:r>
        <w:rPr>
          <w:rFonts w:ascii="黑体" w:hAnsi="黑体" w:eastAsia="黑体"/>
          <w:b/>
          <w:sz w:val="32"/>
          <w:szCs w:val="32"/>
        </w:rPr>
        <w:t>：</w:t>
      </w:r>
      <w:r>
        <w:rPr>
          <w:rFonts w:hint="eastAsia" w:ascii="黑体" w:hAnsi="黑体" w:eastAsia="黑体"/>
          <w:b/>
          <w:sz w:val="32"/>
          <w:szCs w:val="32"/>
        </w:rPr>
        <w:t>********************</w:t>
      </w:r>
    </w:p>
    <w:p>
      <w:pPr>
        <w:pStyle w:val="2"/>
        <w:jc w:val="center"/>
        <w:rPr>
          <w:rFonts w:ascii="黑体" w:hAnsi="黑体" w:eastAsia="黑体"/>
          <w:b/>
          <w:sz w:val="30"/>
          <w:szCs w:val="30"/>
        </w:rPr>
      </w:pPr>
    </w:p>
    <w:p>
      <w:pPr>
        <w:pStyle w:val="2"/>
        <w:rPr>
          <w:rFonts w:ascii="黑体" w:hAnsi="黑体" w:eastAsia="黑体"/>
          <w:b/>
          <w:sz w:val="30"/>
          <w:szCs w:val="30"/>
        </w:rPr>
      </w:pPr>
    </w:p>
    <w:p>
      <w:pPr>
        <w:pStyle w:val="2"/>
        <w:jc w:val="center"/>
        <w:rPr>
          <w:rFonts w:ascii="黑体" w:hAnsi="黑体" w:eastAsia="黑体"/>
          <w:b/>
          <w:sz w:val="30"/>
          <w:szCs w:val="30"/>
        </w:rPr>
      </w:pPr>
      <w:r>
        <w:rPr>
          <w:rFonts w:hint="eastAsia" w:ascii="黑体" w:hAnsi="黑体" w:eastAsia="黑体"/>
          <w:b/>
          <w:sz w:val="30"/>
          <w:szCs w:val="30"/>
        </w:rPr>
        <w:t>签订地点：贵州</w:t>
      </w:r>
      <w:r>
        <w:rPr>
          <w:rFonts w:hint="eastAsia" w:hAnsi="宋体" w:cs="宋体"/>
          <w:b/>
          <w:sz w:val="30"/>
          <w:szCs w:val="30"/>
        </w:rPr>
        <w:t>•</w:t>
      </w:r>
      <w:r>
        <w:rPr>
          <w:rFonts w:hint="eastAsia" w:ascii="黑体" w:hAnsi="黑体" w:eastAsia="黑体"/>
          <w:b/>
          <w:sz w:val="30"/>
          <w:szCs w:val="30"/>
        </w:rPr>
        <w:t>镇远</w:t>
      </w:r>
    </w:p>
    <w:p>
      <w:pPr>
        <w:spacing w:line="360" w:lineRule="auto"/>
        <w:ind w:right="-178" w:rightChars="-85"/>
        <w:jc w:val="center"/>
        <w:rPr>
          <w:rFonts w:ascii="黑体" w:hAnsi="黑体" w:eastAsia="黑体"/>
          <w:b/>
          <w:sz w:val="30"/>
          <w:szCs w:val="30"/>
        </w:rPr>
      </w:pPr>
      <w:r>
        <w:rPr>
          <w:rFonts w:hint="eastAsia" w:ascii="黑体" w:hAnsi="黑体" w:eastAsia="黑体"/>
          <w:b/>
          <w:sz w:val="30"/>
          <w:szCs w:val="30"/>
          <w:lang w:val="en-US" w:eastAsia="zh-CN"/>
        </w:rPr>
        <w:t>****</w:t>
      </w:r>
      <w:r>
        <w:rPr>
          <w:rFonts w:hint="eastAsia" w:ascii="黑体" w:hAnsi="黑体" w:eastAsia="黑体"/>
          <w:b/>
          <w:sz w:val="30"/>
          <w:szCs w:val="30"/>
        </w:rPr>
        <w:t>年**月</w:t>
      </w:r>
    </w:p>
    <w:p>
      <w:pPr>
        <w:spacing w:line="360" w:lineRule="auto"/>
        <w:ind w:right="-178" w:rightChars="-85"/>
        <w:jc w:val="center"/>
        <w:rPr>
          <w:rFonts w:ascii="宋体" w:hAnsi="宋体"/>
          <w:b/>
          <w:sz w:val="36"/>
          <w:szCs w:val="36"/>
        </w:rPr>
      </w:pPr>
      <w:r>
        <w:rPr>
          <w:rFonts w:ascii="宋体" w:hAnsi="宋体"/>
          <w:b/>
          <w:sz w:val="36"/>
          <w:szCs w:val="36"/>
        </w:rPr>
        <w:br w:type="page"/>
      </w:r>
      <w:r>
        <w:rPr>
          <w:rFonts w:hint="eastAsia" w:ascii="宋体" w:hAnsi="宋体"/>
          <w:b/>
          <w:sz w:val="36"/>
          <w:szCs w:val="36"/>
        </w:rPr>
        <w:t>煤炭采购合同</w:t>
      </w:r>
    </w:p>
    <w:p>
      <w:pPr>
        <w:tabs>
          <w:tab w:val="left" w:pos="5865"/>
        </w:tabs>
        <w:wordWrap w:val="0"/>
        <w:spacing w:line="360" w:lineRule="auto"/>
        <w:ind w:right="-6"/>
        <w:jc w:val="right"/>
        <w:rPr>
          <w:rFonts w:ascii="宋体" w:hAnsi="宋体"/>
          <w:b/>
          <w:sz w:val="10"/>
          <w:szCs w:val="10"/>
          <w:u w:val="single"/>
        </w:rPr>
      </w:pPr>
      <w:r>
        <w:rPr>
          <w:rFonts w:hint="eastAsia" w:ascii="宋体" w:hAnsi="宋体"/>
          <w:b/>
          <w:sz w:val="24"/>
        </w:rPr>
        <w:t>合同编号:</w:t>
      </w:r>
      <w:r>
        <w:rPr>
          <w:rFonts w:ascii="宋体" w:hAnsi="宋体"/>
          <w:b/>
          <w:sz w:val="24"/>
        </w:rPr>
        <w:t xml:space="preserve"> 320113</w:t>
      </w:r>
      <w:r>
        <w:rPr>
          <w:rFonts w:hint="eastAsia" w:ascii="宋体" w:hAnsi="宋体"/>
          <w:b/>
          <w:sz w:val="24"/>
        </w:rPr>
        <w:t>-RL01202</w:t>
      </w:r>
      <w:r>
        <w:rPr>
          <w:rFonts w:hint="eastAsia" w:ascii="宋体" w:hAnsi="宋体"/>
          <w:b/>
          <w:sz w:val="24"/>
          <w:lang w:val="en-US" w:eastAsia="zh-CN"/>
        </w:rPr>
        <w:t>1</w:t>
      </w:r>
      <w:r>
        <w:rPr>
          <w:rFonts w:hint="eastAsia" w:ascii="宋体" w:hAnsi="宋体"/>
          <w:b/>
          <w:sz w:val="24"/>
        </w:rPr>
        <w:t>****</w:t>
      </w:r>
    </w:p>
    <w:p>
      <w:pPr>
        <w:spacing w:line="360" w:lineRule="auto"/>
        <w:rPr>
          <w:rFonts w:ascii="宋体" w:hAnsi="宋体"/>
          <w:b/>
          <w:sz w:val="24"/>
        </w:rPr>
      </w:pPr>
      <w:r>
        <w:rPr>
          <w:rFonts w:hint="eastAsia" w:ascii="宋体" w:hAnsi="宋体"/>
          <w:b/>
          <w:sz w:val="24"/>
        </w:rPr>
        <w:t>买方：贵州黔东电力有限公司                                    （甲方）</w:t>
      </w:r>
    </w:p>
    <w:p>
      <w:pPr>
        <w:rPr>
          <w:rFonts w:ascii="宋体" w:hAnsi="宋体"/>
          <w:b/>
          <w:sz w:val="24"/>
        </w:rPr>
      </w:pPr>
      <w:r>
        <w:rPr>
          <w:rFonts w:hint="eastAsia" w:ascii="宋体" w:hAnsi="宋体"/>
          <w:b/>
          <w:sz w:val="24"/>
        </w:rPr>
        <w:t xml:space="preserve">卖方：*******************      </w:t>
      </w:r>
      <w:r>
        <w:rPr>
          <w:rFonts w:hint="eastAsia" w:ascii="宋体" w:hAnsi="宋体"/>
          <w:b/>
          <w:sz w:val="24"/>
          <w:lang w:val="en-US" w:eastAsia="zh-CN"/>
        </w:rPr>
        <w:t xml:space="preserve">                               </w:t>
      </w:r>
      <w:r>
        <w:rPr>
          <w:rFonts w:hint="eastAsia" w:ascii="宋体" w:hAnsi="宋体"/>
          <w:b/>
          <w:sz w:val="24"/>
        </w:rPr>
        <w:t>（乙方）</w:t>
      </w:r>
    </w:p>
    <w:p>
      <w:pPr>
        <w:spacing w:beforeLines="50" w:line="360" w:lineRule="auto"/>
        <w:ind w:right="-357" w:rightChars="-170"/>
        <w:rPr>
          <w:rFonts w:ascii="宋体" w:hAnsi="宋体"/>
          <w:b/>
          <w:bCs/>
          <w:sz w:val="24"/>
        </w:rPr>
      </w:pPr>
      <w:r>
        <w:rPr>
          <w:rFonts w:hint="eastAsia" w:ascii="宋体" w:hAnsi="宋体"/>
          <w:b/>
          <w:bCs/>
          <w:sz w:val="24"/>
        </w:rPr>
        <w:t>一、供货基本信息及供应量、质量约定</w:t>
      </w:r>
    </w:p>
    <w:p>
      <w:pPr>
        <w:spacing w:beforeLines="50" w:line="400" w:lineRule="exact"/>
        <w:ind w:firstLine="472" w:firstLineChars="196"/>
        <w:rPr>
          <w:rFonts w:ascii="宋体" w:hAnsi="宋体"/>
          <w:b/>
          <w:sz w:val="24"/>
        </w:rPr>
      </w:pPr>
      <w:r>
        <w:rPr>
          <w:rFonts w:hint="eastAsia" w:ascii="宋体" w:hAnsi="宋体"/>
          <w:b/>
          <w:sz w:val="24"/>
        </w:rPr>
        <w:t>1、供货基本信息：</w:t>
      </w:r>
    </w:p>
    <w:tbl>
      <w:tblPr>
        <w:tblStyle w:val="10"/>
        <w:tblW w:w="7740" w:type="dxa"/>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4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3240"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6" w:firstLineChars="98"/>
              <w:jc w:val="center"/>
              <w:rPr>
                <w:rFonts w:ascii="宋体" w:hAnsi="宋体"/>
                <w:b/>
                <w:sz w:val="24"/>
              </w:rPr>
            </w:pPr>
            <w:r>
              <w:rPr>
                <w:rFonts w:hint="eastAsia" w:ascii="宋体" w:hAnsi="宋体"/>
                <w:b/>
                <w:sz w:val="24"/>
              </w:rPr>
              <w:t>交货单位名称</w:t>
            </w:r>
          </w:p>
        </w:tc>
        <w:tc>
          <w:tcPr>
            <w:tcW w:w="45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3240"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6" w:firstLineChars="98"/>
              <w:jc w:val="center"/>
              <w:rPr>
                <w:rFonts w:ascii="宋体" w:hAnsi="宋体"/>
                <w:b/>
                <w:sz w:val="24"/>
              </w:rPr>
            </w:pPr>
            <w:r>
              <w:rPr>
                <w:rFonts w:hint="eastAsia" w:ascii="宋体" w:hAnsi="宋体"/>
                <w:b/>
                <w:bCs/>
                <w:sz w:val="24"/>
              </w:rPr>
              <w:t>收货单位名称</w:t>
            </w:r>
          </w:p>
        </w:tc>
        <w:tc>
          <w:tcPr>
            <w:tcW w:w="450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sz w:val="24"/>
              </w:rPr>
            </w:pPr>
            <w:r>
              <w:rPr>
                <w:rFonts w:hint="eastAsia" w:ascii="宋体" w:hAnsi="宋体"/>
                <w:sz w:val="24"/>
              </w:rPr>
              <w:t>贵州黔东电力有限公司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24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品种规格</w:t>
            </w:r>
          </w:p>
        </w:tc>
        <w:tc>
          <w:tcPr>
            <w:tcW w:w="45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24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发站</w:t>
            </w:r>
          </w:p>
        </w:tc>
        <w:tc>
          <w:tcPr>
            <w:tcW w:w="45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4"/>
              </w:rPr>
            </w:pPr>
            <w:r>
              <w:rPr>
                <w:rFonts w:hint="eastAsia" w:ascii="宋体" w:hAnsi="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24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到站</w:t>
            </w:r>
          </w:p>
        </w:tc>
        <w:tc>
          <w:tcPr>
            <w:tcW w:w="45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羊坪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24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合同执行期</w:t>
            </w:r>
          </w:p>
        </w:tc>
        <w:tc>
          <w:tcPr>
            <w:tcW w:w="45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**年**月**日-**年**月**日</w:t>
            </w:r>
          </w:p>
        </w:tc>
      </w:tr>
    </w:tbl>
    <w:p>
      <w:pPr>
        <w:spacing w:beforeLines="50" w:line="400" w:lineRule="exact"/>
        <w:ind w:firstLine="472" w:firstLineChars="196"/>
        <w:rPr>
          <w:rFonts w:ascii="宋体" w:hAnsi="宋体"/>
          <w:b/>
          <w:sz w:val="24"/>
        </w:rPr>
      </w:pPr>
      <w:r>
        <w:rPr>
          <w:rFonts w:hint="eastAsia" w:ascii="宋体" w:hAnsi="宋体"/>
          <w:b/>
          <w:sz w:val="24"/>
        </w:rPr>
        <w:t>2、供应量与质量约定</w:t>
      </w:r>
    </w:p>
    <w:tbl>
      <w:tblPr>
        <w:tblStyle w:val="10"/>
        <w:tblW w:w="7740" w:type="dxa"/>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00"/>
        <w:gridCol w:w="2160"/>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36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供应量和质量（结算周期加权值）</w:t>
            </w:r>
          </w:p>
        </w:tc>
        <w:tc>
          <w:tcPr>
            <w:tcW w:w="2160" w:type="dxa"/>
            <w:tcBorders>
              <w:top w:val="single" w:color="auto" w:sz="4" w:space="0"/>
              <w:left w:val="single" w:color="auto" w:sz="4" w:space="0"/>
              <w:bottom w:val="single" w:color="auto" w:sz="4" w:space="0"/>
              <w:right w:val="single" w:color="auto" w:sz="4" w:space="0"/>
            </w:tcBorders>
          </w:tcPr>
          <w:p>
            <w:pPr>
              <w:widowControl/>
              <w:spacing w:line="400" w:lineRule="exact"/>
              <w:jc w:val="center"/>
              <w:rPr>
                <w:rFonts w:ascii="宋体" w:hAnsi="宋体" w:cs="宋体"/>
                <w:b/>
                <w:bCs/>
                <w:kern w:val="0"/>
                <w:sz w:val="24"/>
              </w:rPr>
            </w:pPr>
            <w:r>
              <w:rPr>
                <w:rFonts w:hint="eastAsia" w:ascii="宋体" w:hAnsi="宋体" w:cs="宋体"/>
                <w:b/>
                <w:bCs/>
                <w:kern w:val="0"/>
                <w:sz w:val="24"/>
              </w:rPr>
              <w:t>合同约定值</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cs="宋体"/>
                <w:b/>
                <w:bCs/>
                <w:kern w:val="0"/>
                <w:sz w:val="24"/>
              </w:rPr>
            </w:pPr>
            <w:r>
              <w:rPr>
                <w:rFonts w:hint="eastAsia" w:ascii="宋体" w:hAnsi="宋体" w:cs="宋体"/>
                <w:b/>
                <w:bCs/>
                <w:kern w:val="0"/>
                <w:sz w:val="24"/>
              </w:rPr>
              <w:t>允许偏差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6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收到基低位热值（Qnet,ar）</w:t>
            </w:r>
          </w:p>
        </w:tc>
        <w:tc>
          <w:tcPr>
            <w:tcW w:w="216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sz w:val="24"/>
              </w:rPr>
            </w:pPr>
            <w:r>
              <w:rPr>
                <w:rFonts w:hint="eastAsia" w:ascii="宋体" w:hAnsi="宋体"/>
                <w:sz w:val="24"/>
              </w:rPr>
              <w:t>**</w:t>
            </w:r>
          </w:p>
        </w:tc>
        <w:tc>
          <w:tcPr>
            <w:tcW w:w="198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6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干燥基全硫（St,d）</w:t>
            </w:r>
          </w:p>
        </w:tc>
        <w:tc>
          <w:tcPr>
            <w:tcW w:w="216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sz w:val="24"/>
              </w:rPr>
            </w:pPr>
            <w:r>
              <w:rPr>
                <w:rFonts w:hint="eastAsia" w:ascii="宋体" w:hAnsi="宋体"/>
                <w:sz w:val="24"/>
              </w:rPr>
              <w:t>**</w:t>
            </w:r>
          </w:p>
        </w:tc>
        <w:tc>
          <w:tcPr>
            <w:tcW w:w="198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6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b/>
                <w:sz w:val="24"/>
              </w:rPr>
              <w:t>干燥无灰基挥发分（Vdaf）</w:t>
            </w:r>
          </w:p>
        </w:tc>
        <w:tc>
          <w:tcPr>
            <w:tcW w:w="216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sz w:val="24"/>
              </w:rPr>
            </w:pPr>
            <w:r>
              <w:rPr>
                <w:rFonts w:hint="eastAsia" w:ascii="宋体" w:hAnsi="宋体"/>
                <w:sz w:val="24"/>
              </w:rPr>
              <w:t>**</w:t>
            </w:r>
          </w:p>
        </w:tc>
        <w:tc>
          <w:tcPr>
            <w:tcW w:w="198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6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供应煤量</w:t>
            </w:r>
          </w:p>
        </w:tc>
        <w:tc>
          <w:tcPr>
            <w:tcW w:w="216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sz w:val="24"/>
              </w:rPr>
            </w:pPr>
            <w:r>
              <w:rPr>
                <w:rFonts w:hint="eastAsia" w:ascii="宋体" w:hAnsi="宋体"/>
                <w:sz w:val="24"/>
              </w:rPr>
              <w:t>**</w:t>
            </w:r>
          </w:p>
        </w:tc>
        <w:tc>
          <w:tcPr>
            <w:tcW w:w="198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Calibri" w:cs="宋体"/>
                <w:color w:val="000000"/>
                <w:sz w:val="20"/>
                <w:szCs w:val="20"/>
                <w:highlight w:val="none"/>
                <w:lang w:val="en-US" w:eastAsia="zh-CN"/>
              </w:rPr>
              <w:t>±</w:t>
            </w:r>
            <w:r>
              <w:rPr>
                <w:rFonts w:hint="eastAsia" w:ascii="宋体" w:hAnsi="宋体"/>
                <w:sz w:val="24"/>
              </w:rPr>
              <w:t>10%</w:t>
            </w:r>
          </w:p>
        </w:tc>
      </w:tr>
    </w:tbl>
    <w:p>
      <w:pPr>
        <w:spacing w:beforeLines="50" w:line="360" w:lineRule="auto"/>
        <w:ind w:right="-357" w:rightChars="-170"/>
        <w:rPr>
          <w:rFonts w:ascii="宋体" w:hAnsi="宋体"/>
          <w:b/>
          <w:bCs/>
          <w:sz w:val="24"/>
        </w:rPr>
      </w:pPr>
      <w:r>
        <w:rPr>
          <w:rFonts w:hint="eastAsia" w:ascii="宋体" w:hAnsi="宋体"/>
          <w:b/>
          <w:bCs/>
          <w:sz w:val="24"/>
        </w:rPr>
        <w:t>二、交货方式：</w:t>
      </w:r>
    </w:p>
    <w:p>
      <w:pPr>
        <w:autoSpaceDE w:val="0"/>
        <w:autoSpaceDN w:val="0"/>
        <w:adjustRightInd w:val="0"/>
        <w:spacing w:line="360" w:lineRule="auto"/>
        <w:ind w:firstLine="480" w:firstLineChars="200"/>
        <w:rPr>
          <w:rFonts w:ascii="宋体" w:hAnsi="宋体"/>
          <w:bCs/>
          <w:sz w:val="24"/>
        </w:rPr>
      </w:pPr>
      <w:r>
        <w:rPr>
          <w:rFonts w:hint="eastAsia" w:ascii="宋体" w:hAnsi="宋体"/>
          <w:bCs/>
          <w:sz w:val="24"/>
        </w:rPr>
        <w:t>卖方代办铁路运输，铁路运费代付代缴，交货地点为贵州黔东电力有限公司专用线（羊坪站），燃煤运抵前的一切风险由卖方承担。</w:t>
      </w:r>
    </w:p>
    <w:p>
      <w:pPr>
        <w:autoSpaceDE w:val="0"/>
        <w:autoSpaceDN w:val="0"/>
        <w:adjustRightInd w:val="0"/>
        <w:spacing w:line="360" w:lineRule="auto"/>
        <w:rPr>
          <w:rFonts w:ascii="宋体" w:hAnsi="宋体"/>
          <w:bCs/>
          <w:sz w:val="24"/>
        </w:rPr>
      </w:pPr>
      <w:r>
        <w:rPr>
          <w:rFonts w:hint="eastAsia" w:ascii="宋体" w:hAnsi="宋体"/>
          <w:b/>
          <w:bCs/>
          <w:sz w:val="24"/>
        </w:rPr>
        <w:t>三、煤炭价格：</w:t>
      </w:r>
    </w:p>
    <w:p>
      <w:pPr>
        <w:autoSpaceDE w:val="0"/>
        <w:autoSpaceDN w:val="0"/>
        <w:adjustRightInd w:val="0"/>
        <w:spacing w:line="360" w:lineRule="auto"/>
        <w:ind w:firstLine="470" w:firstLineChars="196"/>
        <w:rPr>
          <w:rFonts w:ascii="宋体" w:hAnsi="宋体" w:cs="宋体"/>
          <w:kern w:val="0"/>
          <w:sz w:val="24"/>
        </w:rPr>
      </w:pPr>
      <w:r>
        <w:rPr>
          <w:rFonts w:hint="eastAsia" w:ascii="宋体" w:hAnsi="宋体" w:cs="宋体"/>
          <w:kern w:val="0"/>
          <w:sz w:val="24"/>
        </w:rPr>
        <w:t>1、煤炭单价：</w:t>
      </w:r>
    </w:p>
    <w:tbl>
      <w:tblPr>
        <w:tblStyle w:val="10"/>
        <w:tblW w:w="7920" w:type="dxa"/>
        <w:tblInd w:w="53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3552"/>
        <w:gridCol w:w="436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b/>
                <w:bCs/>
                <w:kern w:val="0"/>
                <w:sz w:val="24"/>
              </w:rPr>
            </w:pPr>
            <w:r>
              <w:rPr>
                <w:rFonts w:hint="eastAsia" w:ascii="宋体" w:hAnsi="宋体" w:cs="宋体"/>
                <w:b/>
                <w:bCs/>
                <w:kern w:val="0"/>
                <w:sz w:val="24"/>
              </w:rPr>
              <w:t>对应热值区间（大卡）</w:t>
            </w:r>
          </w:p>
        </w:tc>
        <w:tc>
          <w:tcPr>
            <w:tcW w:w="4368" w:type="dxa"/>
            <w:vAlign w:val="center"/>
          </w:tcPr>
          <w:p>
            <w:pPr>
              <w:widowControl/>
              <w:jc w:val="center"/>
              <w:rPr>
                <w:rFonts w:ascii="宋体" w:hAnsi="宋体" w:cs="宋体"/>
                <w:b/>
                <w:bCs/>
                <w:kern w:val="0"/>
                <w:sz w:val="24"/>
              </w:rPr>
            </w:pPr>
            <w:r>
              <w:rPr>
                <w:rFonts w:hint="eastAsia" w:ascii="宋体" w:hAnsi="宋体" w:cs="宋体"/>
                <w:b/>
                <w:bCs/>
                <w:kern w:val="0"/>
                <w:sz w:val="24"/>
              </w:rPr>
              <w:t>到厂煤炭基价（元/大卡•吨）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kern w:val="0"/>
                <w:sz w:val="24"/>
              </w:rPr>
            </w:pPr>
            <w:r>
              <w:rPr>
                <w:rFonts w:hint="eastAsia" w:ascii="宋体" w:hAnsi="宋体" w:cs="宋体"/>
                <w:kern w:val="0"/>
                <w:sz w:val="24"/>
              </w:rPr>
              <w:t>单批次Qnet,ar＜4000</w:t>
            </w:r>
          </w:p>
        </w:tc>
        <w:tc>
          <w:tcPr>
            <w:tcW w:w="4368" w:type="dxa"/>
            <w:vAlign w:val="center"/>
          </w:tcPr>
          <w:p>
            <w:pPr>
              <w:widowControl/>
              <w:rPr>
                <w:rFonts w:ascii="宋体" w:hAnsi="宋体" w:cs="宋体"/>
                <w:kern w:val="0"/>
                <w:sz w:val="18"/>
                <w:szCs w:val="18"/>
              </w:rPr>
            </w:pPr>
            <w:r>
              <w:rPr>
                <w:rFonts w:hint="eastAsia" w:ascii="宋体" w:hAnsi="宋体" w:cs="宋体"/>
                <w:kern w:val="0"/>
                <w:sz w:val="18"/>
                <w:szCs w:val="18"/>
              </w:rPr>
              <w:t>只支付铁路运费（货票对应开具的9</w:t>
            </w:r>
            <w:r>
              <w:rPr>
                <w:rFonts w:ascii="宋体" w:hAnsi="宋体" w:cs="宋体"/>
                <w:kern w:val="0"/>
                <w:sz w:val="18"/>
                <w:szCs w:val="18"/>
              </w:rPr>
              <w:t>%</w:t>
            </w:r>
            <w:r>
              <w:rPr>
                <w:rFonts w:hint="eastAsia" w:ascii="宋体" w:hAnsi="宋体" w:cs="宋体"/>
                <w:kern w:val="0"/>
                <w:sz w:val="18"/>
                <w:szCs w:val="18"/>
              </w:rPr>
              <w:t>和</w:t>
            </w:r>
            <w:r>
              <w:rPr>
                <w:rFonts w:ascii="宋体" w:hAnsi="宋体" w:cs="宋体"/>
                <w:kern w:val="0"/>
                <w:sz w:val="18"/>
                <w:szCs w:val="18"/>
              </w:rPr>
              <w:t>6%</w:t>
            </w:r>
            <w:r>
              <w:rPr>
                <w:rFonts w:hint="eastAsia" w:ascii="宋体" w:hAnsi="宋体" w:cs="宋体"/>
                <w:kern w:val="0"/>
                <w:sz w:val="18"/>
                <w:szCs w:val="18"/>
              </w:rPr>
              <w:t>增值税专用发票），其他化验指标不考核，数量、质量均不计入结算周期内加权平均。</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kern w:val="0"/>
                <w:sz w:val="24"/>
              </w:rPr>
            </w:pPr>
            <w:r>
              <w:rPr>
                <w:rFonts w:hint="eastAsia" w:ascii="宋体" w:hAnsi="宋体" w:cs="宋体"/>
                <w:kern w:val="0"/>
                <w:sz w:val="24"/>
              </w:rPr>
              <w:t>4000≤Qnet,ar＜4200</w:t>
            </w:r>
          </w:p>
        </w:tc>
        <w:tc>
          <w:tcPr>
            <w:tcW w:w="4368" w:type="dxa"/>
            <w:vAlign w:val="center"/>
          </w:tcPr>
          <w:p>
            <w:pPr>
              <w:widowControl/>
              <w:jc w:val="center"/>
              <w:rPr>
                <w:rFonts w:ascii="宋体" w:hAnsi="宋体" w:cs="宋体"/>
                <w:kern w:val="0"/>
                <w:szCs w:val="21"/>
              </w:rPr>
            </w:pPr>
            <w:r>
              <w:rPr>
                <w:rFonts w:ascii="宋体" w:hAnsi="宋体" w:cs="宋体"/>
                <w:kern w:val="0"/>
                <w:szCs w:val="21"/>
              </w:rPr>
              <w:t>x-0.00</w:t>
            </w:r>
            <w:r>
              <w:rPr>
                <w:rFonts w:hint="eastAsia" w:ascii="宋体" w:hAnsi="宋体" w:cs="宋体"/>
                <w:kern w:val="0"/>
                <w:szCs w:val="21"/>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kern w:val="0"/>
                <w:sz w:val="24"/>
              </w:rPr>
            </w:pPr>
            <w:r>
              <w:rPr>
                <w:rFonts w:hint="eastAsia" w:ascii="宋体" w:hAnsi="宋体" w:cs="宋体"/>
                <w:kern w:val="0"/>
                <w:sz w:val="24"/>
              </w:rPr>
              <w:t>4200≤Qnet,ar＜4400</w:t>
            </w:r>
          </w:p>
        </w:tc>
        <w:tc>
          <w:tcPr>
            <w:tcW w:w="4368" w:type="dxa"/>
            <w:vAlign w:val="center"/>
          </w:tcPr>
          <w:p>
            <w:pPr>
              <w:widowControl/>
              <w:jc w:val="center"/>
              <w:rPr>
                <w:rFonts w:ascii="宋体" w:hAnsi="宋体" w:cs="宋体"/>
                <w:kern w:val="0"/>
                <w:szCs w:val="21"/>
              </w:rPr>
            </w:pPr>
            <w:r>
              <w:rPr>
                <w:rFonts w:ascii="宋体" w:hAnsi="宋体" w:cs="宋体"/>
                <w:kern w:val="0"/>
                <w:szCs w:val="21"/>
              </w:rPr>
              <w:t>x-0.00</w:t>
            </w:r>
            <w:r>
              <w:rPr>
                <w:rFonts w:hint="eastAsia" w:ascii="宋体" w:hAnsi="宋体" w:cs="宋体"/>
                <w:kern w:val="0"/>
                <w:szCs w:val="21"/>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kern w:val="0"/>
                <w:sz w:val="24"/>
              </w:rPr>
            </w:pPr>
            <w:r>
              <w:rPr>
                <w:rFonts w:hint="eastAsia" w:ascii="宋体" w:hAnsi="宋体" w:cs="宋体"/>
                <w:kern w:val="0"/>
                <w:sz w:val="24"/>
              </w:rPr>
              <w:t>4400≤Qnet,ar＜4600</w:t>
            </w:r>
          </w:p>
        </w:tc>
        <w:tc>
          <w:tcPr>
            <w:tcW w:w="4368" w:type="dxa"/>
            <w:vAlign w:val="center"/>
          </w:tcPr>
          <w:p>
            <w:pPr>
              <w:widowControl/>
              <w:jc w:val="center"/>
              <w:rPr>
                <w:rFonts w:ascii="宋体" w:hAnsi="宋体" w:cs="宋体"/>
                <w:kern w:val="0"/>
                <w:szCs w:val="21"/>
              </w:rPr>
            </w:pPr>
            <w:r>
              <w:rPr>
                <w:rFonts w:ascii="宋体" w:hAnsi="宋体" w:cs="宋体"/>
                <w:kern w:val="0"/>
                <w:szCs w:val="21"/>
              </w:rPr>
              <w:t>x-0.003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kern w:val="0"/>
                <w:sz w:val="24"/>
              </w:rPr>
            </w:pPr>
            <w:r>
              <w:rPr>
                <w:rFonts w:hint="eastAsia" w:ascii="宋体" w:hAnsi="宋体" w:cs="宋体"/>
                <w:kern w:val="0"/>
                <w:sz w:val="24"/>
              </w:rPr>
              <w:t>4600≤Qnet,ar＜4800</w:t>
            </w:r>
          </w:p>
        </w:tc>
        <w:tc>
          <w:tcPr>
            <w:tcW w:w="4368" w:type="dxa"/>
            <w:vAlign w:val="center"/>
          </w:tcPr>
          <w:p>
            <w:pPr>
              <w:widowControl/>
              <w:jc w:val="center"/>
              <w:rPr>
                <w:rFonts w:ascii="宋体" w:hAnsi="宋体" w:cs="宋体"/>
                <w:kern w:val="0"/>
                <w:szCs w:val="21"/>
              </w:rPr>
            </w:pPr>
            <w:r>
              <w:rPr>
                <w:rFonts w:ascii="宋体" w:hAnsi="宋体" w:cs="宋体"/>
                <w:kern w:val="0"/>
                <w:szCs w:val="21"/>
              </w:rPr>
              <w:t>x-0.002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kern w:val="0"/>
                <w:sz w:val="24"/>
              </w:rPr>
            </w:pPr>
            <w:r>
              <w:rPr>
                <w:rFonts w:hint="eastAsia" w:ascii="宋体" w:hAnsi="宋体" w:cs="宋体"/>
                <w:kern w:val="0"/>
                <w:sz w:val="24"/>
              </w:rPr>
              <w:t>4800≤Qnet,ar＜5000</w:t>
            </w:r>
          </w:p>
        </w:tc>
        <w:tc>
          <w:tcPr>
            <w:tcW w:w="4368" w:type="dxa"/>
            <w:vAlign w:val="center"/>
          </w:tcPr>
          <w:p>
            <w:pPr>
              <w:widowControl/>
              <w:jc w:val="center"/>
              <w:rPr>
                <w:rFonts w:ascii="宋体" w:hAnsi="宋体" w:cs="宋体"/>
                <w:kern w:val="0"/>
                <w:szCs w:val="21"/>
              </w:rPr>
            </w:pPr>
            <w:r>
              <w:rPr>
                <w:rFonts w:ascii="宋体" w:hAnsi="宋体" w:cs="宋体"/>
                <w:kern w:val="0"/>
                <w:szCs w:val="21"/>
              </w:rPr>
              <w:t>x-0.001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kern w:val="0"/>
                <w:sz w:val="24"/>
              </w:rPr>
            </w:pPr>
            <w:r>
              <w:rPr>
                <w:rFonts w:hint="eastAsia" w:ascii="宋体" w:hAnsi="宋体" w:cs="宋体"/>
                <w:kern w:val="0"/>
                <w:sz w:val="24"/>
              </w:rPr>
              <w:t>Qnet,ar≥5000</w:t>
            </w:r>
          </w:p>
        </w:tc>
        <w:tc>
          <w:tcPr>
            <w:tcW w:w="4368" w:type="dxa"/>
            <w:vAlign w:val="center"/>
          </w:tcPr>
          <w:p>
            <w:pPr>
              <w:widowControl/>
              <w:jc w:val="center"/>
              <w:rPr>
                <w:rFonts w:ascii="宋体" w:hAnsi="宋体" w:cs="宋体"/>
                <w:kern w:val="0"/>
                <w:szCs w:val="21"/>
              </w:rPr>
            </w:pPr>
            <w:r>
              <w:rPr>
                <w:rFonts w:ascii="宋体" w:hAnsi="宋体" w:cs="宋体"/>
                <w:kern w:val="0"/>
                <w:szCs w:val="21"/>
              </w:rPr>
              <w:t>x</w:t>
            </w:r>
          </w:p>
        </w:tc>
      </w:tr>
    </w:tbl>
    <w:p>
      <w:pPr>
        <w:autoSpaceDE w:val="0"/>
        <w:autoSpaceDN w:val="0"/>
        <w:adjustRightInd w:val="0"/>
        <w:spacing w:line="360" w:lineRule="auto"/>
        <w:rPr>
          <w:rFonts w:hint="eastAsia" w:ascii="宋体" w:hAnsi="宋体"/>
          <w:bCs/>
          <w:color w:val="FF0000"/>
          <w:sz w:val="24"/>
        </w:rPr>
      </w:pPr>
      <w:r>
        <w:rPr>
          <w:rFonts w:hint="eastAsia" w:ascii="宋体" w:hAnsi="宋体"/>
          <w:bCs/>
          <w:color w:val="auto"/>
          <w:sz w:val="24"/>
          <w:highlight w:val="none"/>
          <w:lang w:val="en-US" w:eastAsia="zh-CN"/>
        </w:rPr>
        <w:t xml:space="preserve">   </w:t>
      </w:r>
      <w:r>
        <w:rPr>
          <w:rFonts w:hint="eastAsia" w:ascii="宋体" w:hAnsi="宋体"/>
          <w:bCs/>
          <w:sz w:val="24"/>
          <w:lang w:val="en-US" w:eastAsia="zh-CN"/>
        </w:rPr>
        <w:t xml:space="preserve"> 2、</w:t>
      </w:r>
      <w:r>
        <w:rPr>
          <w:rFonts w:hint="eastAsia" w:ascii="宋体" w:hAnsi="宋体"/>
          <w:bCs/>
          <w:sz w:val="24"/>
          <w:lang w:val="zh-CN"/>
        </w:rPr>
        <w:t>在合同执行期内，如因铁路运费下调或优惠政策等情况，根据铁路局优惠政策对合同价格进行相应调整。</w:t>
      </w:r>
    </w:p>
    <w:p>
      <w:pPr>
        <w:autoSpaceDE w:val="0"/>
        <w:autoSpaceDN w:val="0"/>
        <w:adjustRightInd w:val="0"/>
        <w:spacing w:line="360" w:lineRule="auto"/>
        <w:rPr>
          <w:rFonts w:ascii="宋体" w:hAnsi="宋体"/>
          <w:b/>
          <w:bCs/>
          <w:sz w:val="24"/>
        </w:rPr>
      </w:pPr>
      <w:r>
        <w:rPr>
          <w:rFonts w:hint="eastAsia" w:ascii="宋体" w:hAnsi="宋体"/>
          <w:bCs/>
          <w:sz w:val="24"/>
          <w:lang w:val="en-US" w:eastAsia="zh-CN"/>
        </w:rPr>
        <w:t xml:space="preserve">    3、</w:t>
      </w:r>
      <w:r>
        <w:rPr>
          <w:rFonts w:hint="eastAsia" w:ascii="宋体" w:hAnsi="宋体"/>
          <w:bCs/>
          <w:sz w:val="24"/>
        </w:rPr>
        <w:t>煤炭价格含增值税、运杂费等全部费用。</w:t>
      </w:r>
    </w:p>
    <w:p>
      <w:pPr>
        <w:spacing w:beforeLines="50" w:line="360" w:lineRule="auto"/>
        <w:ind w:right="-357" w:rightChars="-170"/>
        <w:rPr>
          <w:rFonts w:ascii="宋体" w:hAnsi="宋体"/>
          <w:b/>
          <w:bCs/>
          <w:sz w:val="24"/>
        </w:rPr>
      </w:pPr>
      <w:r>
        <w:rPr>
          <w:rFonts w:hint="eastAsia" w:ascii="宋体" w:hAnsi="宋体"/>
          <w:b/>
          <w:bCs/>
          <w:sz w:val="24"/>
        </w:rPr>
        <w:t>四、煤炭质量考核</w:t>
      </w:r>
    </w:p>
    <w:p>
      <w:pPr>
        <w:autoSpaceDE w:val="0"/>
        <w:autoSpaceDN w:val="0"/>
        <w:adjustRightInd w:val="0"/>
        <w:spacing w:line="360" w:lineRule="auto"/>
        <w:ind w:firstLine="482" w:firstLineChars="200"/>
        <w:rPr>
          <w:rFonts w:ascii="宋体" w:hAnsi="宋体" w:eastAsia="宋体"/>
          <w:b/>
          <w:bCs/>
          <w:color w:val="FF0000"/>
          <w:sz w:val="24"/>
        </w:rPr>
      </w:pPr>
      <w:r>
        <w:rPr>
          <w:rFonts w:hint="eastAsia" w:ascii="宋体" w:hAnsi="宋体"/>
          <w:b/>
          <w:bCs/>
          <w:color w:val="FF0000"/>
          <w:sz w:val="24"/>
        </w:rPr>
        <w:t>1、煤质考核：</w:t>
      </w:r>
    </w:p>
    <w:p>
      <w:pPr>
        <w:autoSpaceDE w:val="0"/>
        <w:autoSpaceDN w:val="0"/>
        <w:adjustRightInd w:val="0"/>
        <w:spacing w:line="360" w:lineRule="auto"/>
        <w:ind w:firstLine="482" w:firstLineChars="200"/>
        <w:rPr>
          <w:rFonts w:ascii="宋体" w:hAnsi="宋体"/>
          <w:b/>
          <w:sz w:val="24"/>
        </w:rPr>
      </w:pPr>
      <w:r>
        <w:rPr>
          <w:rFonts w:hint="eastAsia" w:ascii="宋体" w:hAnsi="宋体"/>
          <w:b/>
          <w:bCs/>
          <w:sz w:val="24"/>
        </w:rPr>
        <w:t>1）</w:t>
      </w:r>
      <w:r>
        <w:rPr>
          <w:rFonts w:hint="eastAsia" w:ascii="宋体" w:hAnsi="宋体"/>
          <w:b/>
          <w:sz w:val="24"/>
        </w:rPr>
        <w:t>含硫量考核（分段累加扣款）</w:t>
      </w:r>
    </w:p>
    <w:tbl>
      <w:tblPr>
        <w:tblStyle w:val="10"/>
        <w:tblW w:w="7740" w:type="dxa"/>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9"/>
        <w:gridCol w:w="5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对应含硫区间</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St,d≤3.5%</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不考核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0"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3.5%＜St,d≤4.0%</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以3.5%为基准，每增加0.1%，扣款1.0元/吨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0"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4.0%＜St,d≤5.0%</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以4.0%为基准，每增加0.1%，扣款1.5元/吨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0"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5.0%＜St,d≤5.5%</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以5.0%为基准，每增加0.1%，扣款2.5元/吨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0"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5.5%＜St,d≤6.0%</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以5.5%为基准，每增加0.1%，扣款5.0元/吨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0"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6.0%＜单批次St,d≤7.0%</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该批次煤炭价格下浮80元/吨单独结算，数量、质量均不计入结算周期加权。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0"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单批次St,d＞7.0%</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只支付铁路运费（货票对应开具的9%和6%增值税专用发票），数量、质量均不计入结算周期内加权平均。</w:t>
            </w:r>
          </w:p>
        </w:tc>
      </w:tr>
    </w:tbl>
    <w:p>
      <w:pPr>
        <w:spacing w:beforeLines="50" w:line="400" w:lineRule="exact"/>
        <w:ind w:firstLine="590" w:firstLineChars="245"/>
        <w:rPr>
          <w:rFonts w:ascii="宋体" w:hAnsi="宋体"/>
          <w:b/>
          <w:sz w:val="24"/>
        </w:rPr>
      </w:pPr>
      <w:r>
        <w:rPr>
          <w:rFonts w:hint="eastAsia" w:ascii="宋体" w:hAnsi="宋体"/>
          <w:b/>
          <w:sz w:val="24"/>
        </w:rPr>
        <w:t>2）挥发分考核</w:t>
      </w:r>
    </w:p>
    <w:tbl>
      <w:tblPr>
        <w:tblStyle w:val="10"/>
        <w:tblW w:w="7740" w:type="dxa"/>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5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2520"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对应挥发分区间</w:t>
            </w:r>
          </w:p>
        </w:tc>
        <w:tc>
          <w:tcPr>
            <w:tcW w:w="52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sz w:val="24"/>
              </w:rPr>
            </w:pPr>
            <w:r>
              <w:rPr>
                <w:rFonts w:hint="eastAsia" w:ascii="宋体" w:hAnsi="宋体"/>
                <w:sz w:val="24"/>
              </w:rPr>
              <w:t>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2520"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rPr>
                <w:rFonts w:ascii="宋体" w:hAnsi="宋体"/>
                <w:sz w:val="24"/>
              </w:rPr>
            </w:pPr>
            <w:r>
              <w:rPr>
                <w:rFonts w:hint="eastAsia" w:ascii="宋体" w:hAnsi="宋体"/>
                <w:sz w:val="24"/>
              </w:rPr>
              <w:t>Vdaf≥9.0%</w:t>
            </w:r>
          </w:p>
        </w:tc>
        <w:tc>
          <w:tcPr>
            <w:tcW w:w="52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sz w:val="24"/>
              </w:rPr>
            </w:pPr>
            <w:r>
              <w:rPr>
                <w:rFonts w:hint="eastAsia" w:ascii="宋体" w:hAnsi="宋体"/>
                <w:sz w:val="24"/>
              </w:rPr>
              <w:t>不考核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252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6.8%≤Vdaf＜9.0%</w:t>
            </w:r>
          </w:p>
        </w:tc>
        <w:tc>
          <w:tcPr>
            <w:tcW w:w="52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sz w:val="24"/>
              </w:rPr>
            </w:pPr>
            <w:r>
              <w:rPr>
                <w:rFonts w:hint="eastAsia" w:ascii="宋体" w:hAnsi="宋体"/>
                <w:sz w:val="24"/>
              </w:rPr>
              <w:t>以9.0%为基准，每减少0.1%，扣款0.5元/吨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252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单批次Vdaf＜6.8%</w:t>
            </w:r>
          </w:p>
        </w:tc>
        <w:tc>
          <w:tcPr>
            <w:tcW w:w="52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sz w:val="24"/>
              </w:rPr>
            </w:pPr>
            <w:r>
              <w:rPr>
                <w:rFonts w:hint="eastAsia" w:ascii="宋体" w:hAnsi="宋体"/>
                <w:sz w:val="24"/>
              </w:rPr>
              <w:t>该批次煤炭价格下浮40元/吨单独结算，数量、质量均不计入结算周期加权</w:t>
            </w:r>
          </w:p>
        </w:tc>
      </w:tr>
    </w:tbl>
    <w:p>
      <w:pPr>
        <w:spacing w:beforeLines="50" w:line="400" w:lineRule="exact"/>
        <w:rPr>
          <w:rFonts w:ascii="宋体" w:hAnsi="宋体"/>
          <w:b/>
          <w:color w:val="FF0000"/>
          <w:sz w:val="24"/>
        </w:rPr>
      </w:pPr>
      <w:r>
        <w:rPr>
          <w:rFonts w:hint="eastAsia" w:ascii="宋体" w:hAnsi="宋体"/>
          <w:b/>
          <w:color w:val="FF0000"/>
          <w:sz w:val="24"/>
          <w:lang w:val="en-US" w:eastAsia="zh-CN"/>
        </w:rPr>
        <w:t xml:space="preserve">    </w:t>
      </w:r>
      <w:r>
        <w:rPr>
          <w:rFonts w:hint="eastAsia" w:ascii="宋体" w:hAnsi="宋体"/>
          <w:b/>
          <w:color w:val="FF0000"/>
          <w:sz w:val="24"/>
        </w:rPr>
        <w:t>2、煤质偏差考核</w:t>
      </w:r>
    </w:p>
    <w:p>
      <w:pPr>
        <w:autoSpaceDE w:val="0"/>
        <w:autoSpaceDN w:val="0"/>
        <w:adjustRightInd w:val="0"/>
        <w:spacing w:line="360" w:lineRule="auto"/>
        <w:ind w:firstLine="480" w:firstLineChars="200"/>
        <w:rPr>
          <w:rFonts w:ascii="宋体" w:hAnsi="宋体"/>
          <w:bCs/>
          <w:sz w:val="24"/>
        </w:rPr>
      </w:pPr>
      <w:r>
        <w:rPr>
          <w:rFonts w:hint="eastAsia" w:ascii="宋体" w:hAnsi="宋体"/>
          <w:bCs/>
          <w:sz w:val="24"/>
        </w:rPr>
        <w:t>合同执行期内卖方供煤质量（不含未计入加权的煤炭）与合同约定质量存在以下偏差时：</w:t>
      </w:r>
    </w:p>
    <w:p>
      <w:pPr>
        <w:autoSpaceDE w:val="0"/>
        <w:autoSpaceDN w:val="0"/>
        <w:adjustRightInd w:val="0"/>
        <w:spacing w:line="360" w:lineRule="auto"/>
        <w:ind w:firstLine="480" w:firstLineChars="200"/>
        <w:rPr>
          <w:rFonts w:ascii="宋体" w:hAnsi="宋体"/>
          <w:bCs/>
          <w:sz w:val="24"/>
          <w:lang w:val="zh-CN"/>
        </w:rPr>
      </w:pPr>
      <w:r>
        <w:rPr>
          <w:rFonts w:hint="eastAsia" w:ascii="宋体" w:hAnsi="宋体"/>
          <w:bCs/>
          <w:sz w:val="24"/>
          <w:lang w:val="zh-CN"/>
        </w:rPr>
        <w:t>1）结算周期加权收到基低位热值（Qnet,ar）与合同约定值相差超过-300大卡时，在热值对应单价基础上，结算单价再下浮0.00</w:t>
      </w:r>
      <w:r>
        <w:rPr>
          <w:rFonts w:hint="eastAsia" w:ascii="宋体" w:hAnsi="宋体"/>
          <w:bCs/>
          <w:sz w:val="24"/>
        </w:rPr>
        <w:t>2</w:t>
      </w:r>
      <w:r>
        <w:rPr>
          <w:rFonts w:hint="eastAsia" w:ascii="宋体" w:hAnsi="宋体"/>
          <w:bCs/>
          <w:sz w:val="24"/>
          <w:lang w:val="zh-CN"/>
        </w:rPr>
        <w:t>元/大卡·吨。</w:t>
      </w:r>
    </w:p>
    <w:p>
      <w:pPr>
        <w:autoSpaceDE w:val="0"/>
        <w:autoSpaceDN w:val="0"/>
        <w:adjustRightInd w:val="0"/>
        <w:spacing w:line="360" w:lineRule="auto"/>
        <w:ind w:firstLine="480" w:firstLineChars="200"/>
        <w:rPr>
          <w:rFonts w:ascii="宋体" w:hAnsi="宋体"/>
          <w:bCs/>
          <w:sz w:val="24"/>
          <w:lang w:val="zh-CN"/>
        </w:rPr>
      </w:pPr>
      <w:r>
        <w:rPr>
          <w:rFonts w:hint="eastAsia" w:ascii="宋体" w:hAnsi="宋体"/>
          <w:bCs/>
          <w:sz w:val="24"/>
          <w:lang w:val="zh-CN"/>
        </w:rPr>
        <w:t>2）结算周期加权干燥基全硫（St,d）与合同约定值相差超过0.5%时，在热值对应单价和硫份考核基础上，结算单价再下浮0.001元/大卡·吨。</w:t>
      </w:r>
    </w:p>
    <w:p>
      <w:pPr>
        <w:autoSpaceDE w:val="0"/>
        <w:autoSpaceDN w:val="0"/>
        <w:adjustRightInd w:val="0"/>
        <w:spacing w:line="360" w:lineRule="auto"/>
        <w:ind w:firstLine="480" w:firstLineChars="200"/>
        <w:rPr>
          <w:rFonts w:ascii="宋体" w:hAnsi="宋体"/>
          <w:bCs/>
          <w:sz w:val="24"/>
          <w:lang w:val="zh-CN"/>
        </w:rPr>
      </w:pPr>
      <w:r>
        <w:rPr>
          <w:rFonts w:hint="eastAsia" w:ascii="宋体" w:hAnsi="宋体"/>
          <w:bCs/>
          <w:sz w:val="24"/>
          <w:lang w:val="zh-CN"/>
        </w:rPr>
        <w:t>3）结算周期加权干燥无灰基挥发分（Vdaf）与合同约定值相差超过-2%时，在热值对应单价和挥发分考核基础上，结算单价再下浮0.001元/大卡·吨。</w:t>
      </w:r>
    </w:p>
    <w:p>
      <w:pPr>
        <w:autoSpaceDE w:val="0"/>
        <w:autoSpaceDN w:val="0"/>
        <w:adjustRightInd w:val="0"/>
        <w:spacing w:line="360" w:lineRule="auto"/>
        <w:ind w:firstLine="480" w:firstLineChars="200"/>
        <w:rPr>
          <w:rFonts w:ascii="宋体" w:hAnsi="宋体"/>
          <w:b/>
          <w:bCs/>
          <w:sz w:val="24"/>
        </w:rPr>
      </w:pPr>
      <w:r>
        <w:rPr>
          <w:rFonts w:hint="eastAsia" w:ascii="宋体" w:hAnsi="宋体"/>
          <w:bCs/>
          <w:sz w:val="24"/>
        </w:rPr>
        <w:t>4）煤质偏差考核与煤质考核同时执行。</w:t>
      </w:r>
    </w:p>
    <w:p>
      <w:pPr>
        <w:spacing w:line="360" w:lineRule="auto"/>
        <w:rPr>
          <w:rFonts w:ascii="宋体" w:hAnsi="宋体"/>
          <w:b/>
          <w:bCs/>
          <w:sz w:val="24"/>
        </w:rPr>
      </w:pPr>
      <w:r>
        <w:rPr>
          <w:rFonts w:hint="eastAsia" w:ascii="宋体" w:hAnsi="宋体"/>
          <w:b/>
          <w:bCs/>
          <w:sz w:val="24"/>
        </w:rPr>
        <w:t>五、供应量偏差考核</w:t>
      </w:r>
    </w:p>
    <w:p>
      <w:pPr>
        <w:spacing w:line="360" w:lineRule="auto"/>
        <w:ind w:firstLine="540"/>
        <w:rPr>
          <w:rFonts w:ascii="宋体" w:hAnsi="宋体"/>
          <w:bCs/>
          <w:sz w:val="24"/>
        </w:rPr>
      </w:pPr>
      <w:r>
        <w:rPr>
          <w:rFonts w:hint="eastAsia" w:ascii="宋体" w:hAnsi="宋体"/>
          <w:bCs/>
          <w:sz w:val="24"/>
        </w:rPr>
        <w:t>1、在合同执行期内，供应量与合同约定值相差超过</w:t>
      </w:r>
      <w:r>
        <w:rPr>
          <w:rFonts w:hint="eastAsia" w:ascii="宋体" w:hAnsi="Calibri" w:cs="宋体"/>
          <w:color w:val="000000"/>
          <w:sz w:val="20"/>
          <w:szCs w:val="20"/>
          <w:highlight w:val="none"/>
          <w:lang w:val="en-US" w:eastAsia="zh-CN"/>
        </w:rPr>
        <w:t>±</w:t>
      </w:r>
      <w:r>
        <w:rPr>
          <w:rFonts w:hint="eastAsia" w:ascii="宋体" w:hAnsi="宋体"/>
          <w:bCs/>
          <w:sz w:val="24"/>
        </w:rPr>
        <w:t>10%时，在热值对应单价基础上，结算单价再下浮0.001元/大卡·吨</w:t>
      </w:r>
      <w:r>
        <w:rPr>
          <w:rFonts w:hint="eastAsia" w:ascii="宋体" w:hAnsi="宋体"/>
          <w:bCs/>
          <w:sz w:val="24"/>
          <w:lang w:eastAsia="zh-CN"/>
        </w:rPr>
        <w:t>（</w:t>
      </w:r>
      <w:r>
        <w:rPr>
          <w:rFonts w:hint="eastAsia" w:ascii="宋体" w:hAnsi="宋体" w:cs="宋体"/>
          <w:kern w:val="0"/>
          <w:sz w:val="24"/>
        </w:rPr>
        <w:t>单批次</w:t>
      </w:r>
      <w:r>
        <w:rPr>
          <w:rFonts w:hint="eastAsia" w:ascii="宋体" w:hAnsi="宋体"/>
          <w:bCs/>
          <w:sz w:val="24"/>
          <w:lang w:eastAsia="zh-CN"/>
        </w:rPr>
        <w:t>单独结算煤量除外）</w:t>
      </w:r>
      <w:r>
        <w:rPr>
          <w:rFonts w:hint="eastAsia" w:ascii="宋体" w:hAnsi="宋体"/>
          <w:bCs/>
          <w:color w:val="auto"/>
          <w:sz w:val="24"/>
          <w:highlight w:val="none"/>
          <w:lang w:eastAsia="zh-CN"/>
        </w:rPr>
        <w:t>。</w:t>
      </w:r>
    </w:p>
    <w:p>
      <w:pPr>
        <w:spacing w:line="360" w:lineRule="auto"/>
        <w:ind w:firstLine="480" w:firstLineChars="200"/>
        <w:rPr>
          <w:rFonts w:ascii="宋体" w:hAnsi="宋体"/>
          <w:bCs/>
          <w:sz w:val="24"/>
        </w:rPr>
      </w:pPr>
      <w:r>
        <w:rPr>
          <w:rFonts w:hint="eastAsia" w:ascii="宋体" w:hAnsi="宋体"/>
          <w:bCs/>
          <w:sz w:val="24"/>
        </w:rPr>
        <w:t>2、供应量为本合同执行期间发运的所有煤炭净重量，包含:1)因单批次热值低于4000大卡而未计入全月加权的煤量;2)因单批次含硫大于6.0%而未计入全月加权的煤量；3）因单批次挥发分小于6.8%而未计入全月加权的煤量；4)被认定为掺杂使假煤而未计入全月加权的煤量。</w:t>
      </w:r>
    </w:p>
    <w:p>
      <w:pPr>
        <w:spacing w:line="360" w:lineRule="auto"/>
        <w:ind w:firstLine="480" w:firstLineChars="200"/>
        <w:rPr>
          <w:rFonts w:ascii="宋体" w:hAnsi="宋体"/>
          <w:bCs/>
          <w:sz w:val="24"/>
        </w:rPr>
      </w:pPr>
      <w:r>
        <w:rPr>
          <w:rFonts w:hint="eastAsia" w:ascii="宋体" w:hAnsi="宋体"/>
          <w:bCs/>
          <w:sz w:val="24"/>
        </w:rPr>
        <w:t>3、接买方电话通知中标后2个工作日内由卖方提出本月发运计划给买方，由买方根据需求的实际情况确认，否则，由此造成的损失由卖方自己负责。</w:t>
      </w:r>
    </w:p>
    <w:p>
      <w:pPr>
        <w:spacing w:line="360" w:lineRule="auto"/>
        <w:ind w:firstLine="480" w:firstLineChars="200"/>
        <w:rPr>
          <w:rFonts w:hint="eastAsia" w:ascii="宋体" w:hAnsi="宋体"/>
          <w:bCs/>
          <w:sz w:val="24"/>
        </w:rPr>
      </w:pPr>
      <w:r>
        <w:rPr>
          <w:rFonts w:hint="eastAsia" w:ascii="宋体" w:hAnsi="宋体"/>
          <w:bCs/>
          <w:sz w:val="24"/>
        </w:rPr>
        <w:t>4、合同计划供应量是基于买方当月电量计划进行确定，如果当月实际电量减少或增加，买方可提前两天书面通知卖方减少或增加</w:t>
      </w:r>
      <w:r>
        <w:rPr>
          <w:rFonts w:hint="eastAsia" w:ascii="宋体" w:hAnsi="宋体"/>
          <w:bCs/>
          <w:sz w:val="24"/>
          <w:lang w:eastAsia="zh-CN"/>
        </w:rPr>
        <w:t>以及停止</w:t>
      </w:r>
      <w:r>
        <w:rPr>
          <w:rFonts w:hint="eastAsia" w:ascii="宋体" w:hAnsi="宋体"/>
          <w:bCs/>
          <w:sz w:val="24"/>
        </w:rPr>
        <w:t>合同计划供应量。</w:t>
      </w:r>
      <w:r>
        <w:rPr>
          <w:rFonts w:hint="eastAsia" w:ascii="宋体" w:hAnsi="宋体"/>
          <w:bCs/>
          <w:color w:val="auto"/>
          <w:sz w:val="24"/>
        </w:rPr>
        <w:t>由买方通知停止发煤的不执行煤炭</w:t>
      </w:r>
      <w:r>
        <w:rPr>
          <w:rFonts w:hint="eastAsia" w:ascii="宋体" w:hAnsi="宋体"/>
          <w:bCs/>
          <w:color w:val="auto"/>
          <w:sz w:val="24"/>
          <w:lang w:eastAsia="zh-CN"/>
        </w:rPr>
        <w:t>供应</w:t>
      </w:r>
      <w:r>
        <w:rPr>
          <w:rFonts w:hint="eastAsia" w:ascii="宋体" w:hAnsi="宋体"/>
          <w:bCs/>
          <w:color w:val="auto"/>
          <w:sz w:val="24"/>
        </w:rPr>
        <w:t>量偏差</w:t>
      </w:r>
      <w:r>
        <w:rPr>
          <w:rFonts w:hint="eastAsia" w:ascii="宋体" w:hAnsi="宋体"/>
          <w:bCs/>
          <w:color w:val="auto"/>
          <w:sz w:val="24"/>
          <w:lang w:eastAsia="zh-CN"/>
        </w:rPr>
        <w:t>和履约保证金考核</w:t>
      </w:r>
      <w:r>
        <w:rPr>
          <w:rFonts w:hint="eastAsia" w:ascii="宋体" w:hAnsi="宋体"/>
          <w:bCs/>
          <w:color w:val="auto"/>
          <w:sz w:val="24"/>
        </w:rPr>
        <w:t>。</w:t>
      </w:r>
    </w:p>
    <w:p>
      <w:pPr>
        <w:numPr>
          <w:ilvl w:val="0"/>
          <w:numId w:val="0"/>
        </w:numPr>
        <w:autoSpaceDE w:val="0"/>
        <w:autoSpaceDN w:val="0"/>
        <w:adjustRightInd w:val="0"/>
        <w:spacing w:line="360" w:lineRule="auto"/>
        <w:rPr>
          <w:rFonts w:hint="eastAsia" w:ascii="宋体" w:hAnsi="宋体"/>
          <w:bCs/>
          <w:sz w:val="24"/>
        </w:rPr>
      </w:pPr>
      <w:r>
        <w:rPr>
          <w:rFonts w:hint="eastAsia" w:ascii="宋体" w:hAnsi="宋体"/>
          <w:bCs/>
          <w:color w:val="FF0000"/>
          <w:sz w:val="24"/>
          <w:highlight w:val="none"/>
          <w:lang w:val="en-US" w:eastAsia="zh-CN"/>
        </w:rPr>
        <w:t xml:space="preserve">    </w:t>
      </w:r>
      <w:r>
        <w:rPr>
          <w:rFonts w:hint="eastAsia" w:ascii="宋体" w:hAnsi="宋体"/>
          <w:b/>
          <w:bCs w:val="0"/>
          <w:color w:val="FF0000"/>
          <w:sz w:val="24"/>
          <w:highlight w:val="none"/>
          <w:lang w:val="en-US" w:eastAsia="zh-CN"/>
        </w:rPr>
        <w:t>5、</w:t>
      </w:r>
      <w:r>
        <w:rPr>
          <w:rFonts w:hint="eastAsia" w:ascii="宋体" w:hAnsi="宋体"/>
          <w:b/>
          <w:bCs w:val="0"/>
          <w:color w:val="FF0000"/>
          <w:sz w:val="24"/>
          <w:highlight w:val="none"/>
          <w:lang w:val="zh-CN"/>
        </w:rPr>
        <w:t>卖方超合同量10%发运的需提前向买方提出书面申请并得到许可，在没有买方书面许可情况下超发运的将不予接卸，产生的一切后果由卖方自行承担。</w:t>
      </w:r>
    </w:p>
    <w:p>
      <w:pPr>
        <w:spacing w:beforeLines="50" w:line="360" w:lineRule="auto"/>
        <w:ind w:right="-357" w:rightChars="-170"/>
        <w:rPr>
          <w:rFonts w:ascii="宋体" w:hAnsi="宋体"/>
          <w:b/>
          <w:bCs/>
          <w:sz w:val="24"/>
        </w:rPr>
      </w:pPr>
      <w:r>
        <w:rPr>
          <w:rFonts w:hint="eastAsia" w:ascii="宋体" w:hAnsi="宋体"/>
          <w:b/>
          <w:bCs/>
          <w:sz w:val="24"/>
        </w:rPr>
        <w:t>六、付款及结算方式</w:t>
      </w:r>
    </w:p>
    <w:p>
      <w:pPr>
        <w:spacing w:line="360" w:lineRule="auto"/>
        <w:ind w:firstLine="480" w:firstLineChars="200"/>
        <w:rPr>
          <w:rFonts w:ascii="宋体" w:hAnsi="宋体"/>
          <w:bCs/>
          <w:sz w:val="24"/>
        </w:rPr>
      </w:pPr>
      <w:r>
        <w:rPr>
          <w:rFonts w:hint="eastAsia" w:ascii="宋体" w:hAnsi="宋体"/>
          <w:bCs/>
          <w:sz w:val="24"/>
        </w:rPr>
        <w:t>1、预结款：买方每收到卖方来煤3</w:t>
      </w:r>
      <w:r>
        <w:rPr>
          <w:rFonts w:ascii="宋体" w:hAnsi="宋体"/>
          <w:bCs/>
          <w:sz w:val="24"/>
        </w:rPr>
        <w:t>000</w:t>
      </w:r>
      <w:r>
        <w:rPr>
          <w:rFonts w:hint="eastAsia" w:ascii="宋体" w:hAnsi="宋体"/>
          <w:bCs/>
          <w:sz w:val="24"/>
        </w:rPr>
        <w:t>吨及以上并在化验结果出来后，可办理来煤总金额7</w:t>
      </w:r>
      <w:r>
        <w:rPr>
          <w:rFonts w:ascii="宋体" w:hAnsi="宋体"/>
          <w:bCs/>
          <w:sz w:val="24"/>
        </w:rPr>
        <w:t>0%</w:t>
      </w:r>
      <w:r>
        <w:rPr>
          <w:rFonts w:hint="eastAsia" w:ascii="宋体" w:hAnsi="宋体"/>
          <w:bCs/>
          <w:sz w:val="24"/>
        </w:rPr>
        <w:t>预结款，卖方需提供收款收据，在当月结算款中予以冲抵。</w:t>
      </w:r>
    </w:p>
    <w:p>
      <w:pPr>
        <w:spacing w:line="360" w:lineRule="auto"/>
        <w:ind w:firstLine="480" w:firstLineChars="200"/>
        <w:rPr>
          <w:rFonts w:ascii="宋体" w:hAnsi="宋体"/>
          <w:bCs/>
          <w:sz w:val="24"/>
        </w:rPr>
      </w:pPr>
      <w:r>
        <w:rPr>
          <w:rFonts w:hint="eastAsia" w:ascii="宋体" w:hAnsi="宋体"/>
          <w:bCs/>
          <w:sz w:val="24"/>
        </w:rPr>
        <w:t>2、结算方式：两票结算（煤款：13%增值税专用发票，开票煤款=结算总金额-运费总金额。铁路运费：9%和6%增值税专用发票）。</w:t>
      </w:r>
      <w:r>
        <w:rPr>
          <w:rFonts w:hint="eastAsia" w:ascii="宋体" w:hAnsi="宋体"/>
          <w:bCs/>
          <w:sz w:val="24"/>
          <w:lang w:val="zh-CN"/>
        </w:rPr>
        <w:t>合同执行期间，若遇国家税率政策调整，符合条件的，按照“不含税价格不变”的原则对合同价款进行相应调整。</w:t>
      </w:r>
    </w:p>
    <w:p>
      <w:pPr>
        <w:spacing w:line="360" w:lineRule="auto"/>
        <w:ind w:firstLine="480" w:firstLineChars="200"/>
        <w:rPr>
          <w:rFonts w:ascii="宋体" w:hAnsi="宋体"/>
          <w:bCs/>
          <w:sz w:val="24"/>
        </w:rPr>
      </w:pPr>
      <w:r>
        <w:rPr>
          <w:rFonts w:hint="eastAsia" w:ascii="宋体" w:hAnsi="宋体"/>
          <w:bCs/>
          <w:sz w:val="24"/>
        </w:rPr>
        <w:t>3、结算时间：</w:t>
      </w:r>
      <w:r>
        <w:rPr>
          <w:rFonts w:hint="eastAsia" w:ascii="宋体" w:hAnsi="宋体"/>
          <w:sz w:val="24"/>
        </w:rPr>
        <w:t>**年**月**日-**年**月**日</w:t>
      </w:r>
      <w:r>
        <w:rPr>
          <w:rFonts w:hint="eastAsia" w:ascii="宋体" w:hAnsi="宋体"/>
          <w:bCs/>
          <w:sz w:val="24"/>
        </w:rPr>
        <w:t>为一个结算周期加权平均结算，以起票时间为准。</w:t>
      </w:r>
    </w:p>
    <w:p>
      <w:pPr>
        <w:spacing w:line="360" w:lineRule="auto"/>
        <w:ind w:firstLine="480" w:firstLineChars="200"/>
        <w:rPr>
          <w:rFonts w:ascii="宋体" w:hAnsi="宋体"/>
          <w:bCs/>
          <w:sz w:val="24"/>
        </w:rPr>
      </w:pPr>
      <w:r>
        <w:rPr>
          <w:rFonts w:hint="eastAsia" w:ascii="宋体" w:hAnsi="宋体"/>
          <w:bCs/>
          <w:sz w:val="24"/>
        </w:rPr>
        <w:t>4、结算材料：如果托运人不是卖方的，需在合同结算前提供代发协议等真实合法有效的证明材料。</w:t>
      </w:r>
    </w:p>
    <w:p>
      <w:pPr>
        <w:spacing w:line="360" w:lineRule="auto"/>
        <w:rPr>
          <w:rFonts w:ascii="宋体" w:hAnsi="宋体"/>
          <w:b/>
          <w:bCs/>
          <w:sz w:val="24"/>
        </w:rPr>
      </w:pPr>
      <w:r>
        <w:rPr>
          <w:rFonts w:hint="eastAsia" w:ascii="宋体" w:hAnsi="宋体"/>
          <w:b/>
          <w:bCs/>
          <w:sz w:val="24"/>
        </w:rPr>
        <w:t>七、履约保证金</w:t>
      </w:r>
    </w:p>
    <w:p>
      <w:pPr>
        <w:spacing w:line="360" w:lineRule="auto"/>
        <w:ind w:firstLine="480" w:firstLineChars="200"/>
        <w:rPr>
          <w:rFonts w:ascii="宋体" w:hAnsi="宋体"/>
          <w:bCs/>
          <w:sz w:val="24"/>
        </w:rPr>
      </w:pPr>
      <w:r>
        <w:rPr>
          <w:rFonts w:hint="eastAsia" w:ascii="宋体" w:hAnsi="宋体"/>
          <w:bCs/>
          <w:sz w:val="24"/>
        </w:rPr>
        <w:t>1、卖方需在签订合同前缴纳10万元履约保证金至买方账户，方能签订与履行合同。</w:t>
      </w:r>
    </w:p>
    <w:p>
      <w:pPr>
        <w:spacing w:line="360" w:lineRule="auto"/>
        <w:ind w:firstLine="480" w:firstLineChars="200"/>
        <w:rPr>
          <w:rFonts w:ascii="宋体" w:hAnsi="宋体"/>
          <w:bCs/>
          <w:sz w:val="24"/>
        </w:rPr>
      </w:pPr>
      <w:r>
        <w:rPr>
          <w:rFonts w:hint="eastAsia" w:ascii="宋体" w:hAnsi="宋体"/>
          <w:bCs/>
          <w:sz w:val="24"/>
        </w:rPr>
        <w:t>2、履约保证金账号信息：公司名称（贵州黔东电力有限公司）、开户行（工行岑巩支行）、账号（2407050829000015811）。</w:t>
      </w:r>
    </w:p>
    <w:p>
      <w:pPr>
        <w:spacing w:line="360" w:lineRule="auto"/>
        <w:ind w:firstLine="480" w:firstLineChars="200"/>
        <w:rPr>
          <w:rFonts w:ascii="宋体" w:hAnsi="宋体"/>
          <w:bCs/>
          <w:sz w:val="24"/>
        </w:rPr>
      </w:pPr>
      <w:r>
        <w:rPr>
          <w:rFonts w:hint="eastAsia" w:ascii="宋体" w:hAnsi="宋体"/>
          <w:bCs/>
          <w:sz w:val="24"/>
        </w:rPr>
        <w:t>3、合同执行期满，卖方实际供应量未达到合同约定量50%，扣除履约保证金。</w:t>
      </w:r>
    </w:p>
    <w:p>
      <w:pPr>
        <w:spacing w:line="360" w:lineRule="auto"/>
        <w:ind w:firstLine="480" w:firstLineChars="200"/>
        <w:rPr>
          <w:rFonts w:ascii="宋体" w:hAnsi="宋体"/>
          <w:bCs/>
          <w:sz w:val="24"/>
        </w:rPr>
      </w:pPr>
      <w:r>
        <w:rPr>
          <w:rFonts w:hint="eastAsia" w:ascii="宋体" w:hAnsi="宋体"/>
          <w:bCs/>
          <w:sz w:val="24"/>
        </w:rPr>
        <w:t>4、合同执行期满，卖方实际供应量达到合同约定量50%，转入下次合同使用，或申请返还。</w:t>
      </w:r>
    </w:p>
    <w:p>
      <w:pPr>
        <w:spacing w:line="360" w:lineRule="auto"/>
        <w:ind w:firstLine="480" w:firstLineChars="200"/>
        <w:rPr>
          <w:rFonts w:ascii="宋体" w:hAnsi="宋体"/>
          <w:bCs/>
          <w:sz w:val="24"/>
        </w:rPr>
      </w:pPr>
      <w:r>
        <w:rPr>
          <w:rFonts w:hint="eastAsia" w:ascii="宋体" w:hAnsi="宋体"/>
          <w:bCs/>
          <w:sz w:val="24"/>
        </w:rPr>
        <w:t>5、履约保证金与供应量偏差考核（参照第五条供应量偏差考核）同时执行。</w:t>
      </w:r>
    </w:p>
    <w:p>
      <w:pPr>
        <w:spacing w:line="360" w:lineRule="auto"/>
        <w:rPr>
          <w:rFonts w:ascii="宋体" w:hAnsi="宋体"/>
          <w:bCs/>
          <w:sz w:val="24"/>
        </w:rPr>
      </w:pPr>
      <w:r>
        <w:rPr>
          <w:rFonts w:hint="eastAsia" w:ascii="宋体" w:hAnsi="宋体"/>
          <w:b/>
          <w:bCs/>
          <w:sz w:val="24"/>
        </w:rPr>
        <w:t>八、来煤中含杂物考核</w:t>
      </w:r>
    </w:p>
    <w:p>
      <w:pPr>
        <w:spacing w:line="360" w:lineRule="auto"/>
        <w:ind w:firstLine="480" w:firstLineChars="200"/>
        <w:rPr>
          <w:rFonts w:ascii="宋体" w:hAnsi="宋体"/>
          <w:bCs/>
          <w:sz w:val="24"/>
        </w:rPr>
      </w:pPr>
      <w:r>
        <w:rPr>
          <w:rFonts w:hint="eastAsia" w:ascii="宋体" w:hAnsi="宋体"/>
          <w:bCs/>
          <w:sz w:val="24"/>
        </w:rPr>
        <w:t>1、如因煤中所含杂物导致买方设备损坏的，卖方应承担采购、修理设备所需的全部直接间接费用，因检修设备导致的铁路延时费（以成都铁路局确定的计费标准计算）亦由卖方承担。</w:t>
      </w:r>
    </w:p>
    <w:p>
      <w:pPr>
        <w:spacing w:line="360" w:lineRule="auto"/>
        <w:ind w:firstLine="480" w:firstLineChars="200"/>
        <w:rPr>
          <w:rFonts w:ascii="宋体" w:hAnsi="宋体"/>
          <w:bCs/>
          <w:sz w:val="24"/>
        </w:rPr>
      </w:pPr>
      <w:r>
        <w:rPr>
          <w:rFonts w:hint="eastAsia" w:ascii="宋体" w:hAnsi="宋体"/>
          <w:bCs/>
          <w:sz w:val="24"/>
        </w:rPr>
        <w:t>2、煤中所含杂物未造成电厂设备损坏的，根据杂物性质对卖方进行考核。杂物为大件铁器（重量2公斤及以上）或可能影响设备运行的其他物品，每次考核1000元；杂物为小件铁器（重量2公斤以下）及可能延误翻卸作业的物品，每次考核500元。</w:t>
      </w:r>
    </w:p>
    <w:p>
      <w:pPr>
        <w:spacing w:line="360" w:lineRule="auto"/>
        <w:ind w:firstLine="480" w:firstLineChars="200"/>
        <w:rPr>
          <w:rFonts w:ascii="宋体" w:hAnsi="宋体"/>
          <w:bCs/>
          <w:sz w:val="24"/>
        </w:rPr>
      </w:pPr>
      <w:r>
        <w:rPr>
          <w:rFonts w:hint="eastAsia" w:ascii="宋体" w:hAnsi="宋体"/>
          <w:bCs/>
          <w:sz w:val="24"/>
        </w:rPr>
        <w:t>3、发现杂物后，买方在0.5小时内通知卖方并留存现场照片及相关记录，卖方对所含杂物有异议者可在接到通知后0.5小时内赶到现场处理。如因处理杂物导致后续车皮产生延时费，相关费用由卖方承担。</w:t>
      </w:r>
    </w:p>
    <w:p>
      <w:pPr>
        <w:spacing w:line="360" w:lineRule="auto"/>
        <w:ind w:firstLine="480" w:firstLineChars="200"/>
        <w:rPr>
          <w:rFonts w:ascii="宋体" w:hAnsi="宋体"/>
          <w:bCs/>
          <w:sz w:val="24"/>
        </w:rPr>
      </w:pPr>
      <w:r>
        <w:rPr>
          <w:rFonts w:hint="eastAsia" w:ascii="宋体" w:hAnsi="宋体"/>
          <w:bCs/>
          <w:sz w:val="24"/>
        </w:rPr>
        <w:t>4、赔偿款、考核款及相关费用在卖方最近一次结算中扣除。</w:t>
      </w:r>
    </w:p>
    <w:p>
      <w:pPr>
        <w:spacing w:beforeLines="50" w:line="360" w:lineRule="auto"/>
        <w:ind w:right="-357" w:rightChars="-170"/>
        <w:rPr>
          <w:rFonts w:ascii="宋体" w:hAnsi="宋体"/>
          <w:b/>
          <w:bCs/>
          <w:sz w:val="24"/>
        </w:rPr>
      </w:pPr>
      <w:r>
        <w:rPr>
          <w:rFonts w:hint="eastAsia" w:ascii="宋体" w:hAnsi="宋体"/>
          <w:b/>
          <w:bCs/>
          <w:sz w:val="24"/>
        </w:rPr>
        <w:t>九、质量和数量验收标准及方法</w:t>
      </w:r>
    </w:p>
    <w:p>
      <w:pPr>
        <w:spacing w:line="360" w:lineRule="auto"/>
        <w:ind w:firstLine="480" w:firstLineChars="200"/>
        <w:rPr>
          <w:rFonts w:ascii="宋体" w:hAnsi="宋体"/>
          <w:bCs/>
          <w:sz w:val="24"/>
        </w:rPr>
      </w:pPr>
      <w:r>
        <w:rPr>
          <w:rFonts w:hint="eastAsia" w:ascii="宋体" w:hAnsi="宋体"/>
          <w:bCs/>
          <w:sz w:val="24"/>
        </w:rPr>
        <w:t>1、以买方采制化及过衡数据为准，作为计价与计量指标，结算周期加权平均结算。</w:t>
      </w:r>
    </w:p>
    <w:p>
      <w:pPr>
        <w:spacing w:line="360" w:lineRule="auto"/>
        <w:ind w:firstLine="480" w:firstLineChars="200"/>
        <w:rPr>
          <w:rFonts w:ascii="宋体" w:hAnsi="宋体"/>
          <w:bCs/>
          <w:sz w:val="24"/>
        </w:rPr>
      </w:pPr>
      <w:r>
        <w:rPr>
          <w:rFonts w:hint="eastAsia" w:ascii="宋体" w:hAnsi="宋体"/>
          <w:bCs/>
          <w:sz w:val="24"/>
        </w:rPr>
        <w:t>2、卖方有权通过监控屏幕观看采制样、化验过程，并索取一份制好的煤样。当卖方观摩采制化过程时，需持有效的委托/授权证明，并征得买方同意且由买方陪同，在煤车到达前赶到现场，逾期不到，则视为认同买方采制化。</w:t>
      </w:r>
    </w:p>
    <w:p>
      <w:pPr>
        <w:spacing w:line="360" w:lineRule="auto"/>
        <w:ind w:firstLine="480" w:firstLineChars="200"/>
        <w:rPr>
          <w:rFonts w:ascii="宋体" w:hAnsi="宋体"/>
          <w:bCs/>
          <w:sz w:val="24"/>
        </w:rPr>
      </w:pPr>
      <w:r>
        <w:rPr>
          <w:rFonts w:hint="eastAsia" w:ascii="宋体" w:hAnsi="宋体"/>
          <w:bCs/>
          <w:sz w:val="24"/>
        </w:rPr>
        <w:t>3、卖方人员接到买方化验结果后，卖方如对化验数据提出异议，必须在三日内向买方提出查样书面申请，买方提供存查样，双方共同将备查样送贵州省煤检所进行复检，若复检结果在国家标准允许误差范围内，则以买方化验结果作为结算依据；若复检结果超过国家标准允许误差范围，则以贵州省煤检中心化验结果作为结算依据。复检所发生的一切费用由责任方负责。</w:t>
      </w:r>
    </w:p>
    <w:p>
      <w:pPr>
        <w:spacing w:beforeLines="50" w:line="360" w:lineRule="auto"/>
        <w:ind w:right="-357" w:rightChars="-170"/>
        <w:rPr>
          <w:rFonts w:ascii="宋体" w:hAnsi="宋体"/>
          <w:b/>
          <w:bCs/>
          <w:sz w:val="24"/>
        </w:rPr>
      </w:pPr>
      <w:r>
        <w:rPr>
          <w:rFonts w:hint="eastAsia" w:ascii="宋体" w:hAnsi="宋体"/>
          <w:b/>
          <w:bCs/>
          <w:sz w:val="24"/>
        </w:rPr>
        <w:t>十、掺杂使假煤的界定及处理：</w:t>
      </w:r>
    </w:p>
    <w:p>
      <w:pPr>
        <w:spacing w:line="360" w:lineRule="auto"/>
        <w:ind w:firstLine="480" w:firstLineChars="200"/>
        <w:rPr>
          <w:rFonts w:ascii="宋体" w:hAnsi="宋体"/>
          <w:bCs/>
          <w:sz w:val="24"/>
        </w:rPr>
      </w:pPr>
      <w:r>
        <w:rPr>
          <w:rFonts w:hint="eastAsia" w:ascii="宋体" w:hAnsi="宋体"/>
          <w:bCs/>
          <w:sz w:val="24"/>
        </w:rPr>
        <w:t>1、掺杂使假煤的界定</w:t>
      </w:r>
    </w:p>
    <w:p>
      <w:pPr>
        <w:spacing w:line="360" w:lineRule="auto"/>
        <w:ind w:firstLine="480" w:firstLineChars="200"/>
        <w:rPr>
          <w:rFonts w:ascii="宋体" w:hAnsi="宋体"/>
          <w:bCs/>
          <w:sz w:val="24"/>
        </w:rPr>
      </w:pPr>
      <w:r>
        <w:rPr>
          <w:rFonts w:hint="eastAsia" w:ascii="宋体" w:hAnsi="宋体"/>
          <w:bCs/>
          <w:sz w:val="24"/>
        </w:rPr>
        <w:t>在车辆装出未到买方前，卖方未书面告知买方异常装车情况及车号，待煤炭到厂后，买方验收发现下列情况均属于掺杂使假行为：</w:t>
      </w:r>
    </w:p>
    <w:p>
      <w:pPr>
        <w:spacing w:line="360" w:lineRule="auto"/>
        <w:ind w:firstLine="480" w:firstLineChars="200"/>
        <w:rPr>
          <w:rFonts w:ascii="宋体" w:hAnsi="宋体"/>
          <w:bCs/>
          <w:sz w:val="24"/>
        </w:rPr>
      </w:pPr>
      <w:r>
        <w:rPr>
          <w:rFonts w:hint="eastAsia" w:ascii="宋体" w:hAnsi="宋体"/>
          <w:bCs/>
          <w:sz w:val="24"/>
        </w:rPr>
        <w:t>1）高积水煤：车厢上面有明显积水或煤呈浆糊状。</w:t>
      </w:r>
    </w:p>
    <w:p>
      <w:pPr>
        <w:spacing w:line="360" w:lineRule="auto"/>
        <w:ind w:firstLine="480" w:firstLineChars="200"/>
        <w:rPr>
          <w:rFonts w:ascii="宋体" w:hAnsi="宋体"/>
          <w:bCs/>
          <w:sz w:val="24"/>
        </w:rPr>
      </w:pPr>
      <w:r>
        <w:rPr>
          <w:rFonts w:hint="eastAsia" w:ascii="宋体" w:hAnsi="宋体"/>
          <w:bCs/>
          <w:sz w:val="24"/>
        </w:rPr>
        <w:t>2）不能通过翻车机煤箅子(300mmx300mm)与不能通过采样设备的矸石及影响设备安全运行的木块、铁器、跳板等非煤杂物；含矸率≥5%。</w:t>
      </w:r>
    </w:p>
    <w:p>
      <w:pPr>
        <w:spacing w:line="360" w:lineRule="auto"/>
        <w:ind w:firstLine="480" w:firstLineChars="200"/>
        <w:rPr>
          <w:rFonts w:ascii="宋体" w:hAnsi="宋体"/>
          <w:bCs/>
          <w:sz w:val="24"/>
        </w:rPr>
      </w:pPr>
      <w:r>
        <w:rPr>
          <w:rFonts w:hint="eastAsia" w:ascii="宋体" w:hAnsi="宋体"/>
          <w:bCs/>
          <w:sz w:val="24"/>
        </w:rPr>
        <w:t>3）同一车厢所装煤质存在差异，干基高位热值差距＞1.7MJ/Kg。</w:t>
      </w:r>
    </w:p>
    <w:p>
      <w:pPr>
        <w:spacing w:line="360" w:lineRule="auto"/>
        <w:ind w:firstLine="480" w:firstLineChars="200"/>
        <w:rPr>
          <w:rFonts w:ascii="宋体" w:hAnsi="宋体"/>
          <w:bCs/>
          <w:sz w:val="24"/>
        </w:rPr>
      </w:pPr>
      <w:r>
        <w:rPr>
          <w:rFonts w:hint="eastAsia" w:ascii="宋体" w:hAnsi="宋体"/>
          <w:bCs/>
          <w:sz w:val="24"/>
        </w:rPr>
        <w:t>2、掺杂使假煤的处理</w:t>
      </w:r>
    </w:p>
    <w:p>
      <w:pPr>
        <w:spacing w:line="360" w:lineRule="auto"/>
        <w:ind w:firstLine="480" w:firstLineChars="200"/>
        <w:rPr>
          <w:rFonts w:ascii="宋体" w:hAnsi="宋体"/>
          <w:bCs/>
          <w:sz w:val="24"/>
        </w:rPr>
      </w:pPr>
      <w:r>
        <w:rPr>
          <w:rFonts w:hint="eastAsia" w:ascii="宋体" w:hAnsi="宋体"/>
          <w:bCs/>
          <w:sz w:val="24"/>
          <w:lang w:val="zh-CN"/>
        </w:rPr>
        <w:t>卖方的煤炭到厂验收时，买方发现掺杂使假煤情况时，卖方同意买方按以下标准处理：</w:t>
      </w:r>
    </w:p>
    <w:p>
      <w:pPr>
        <w:spacing w:line="360" w:lineRule="auto"/>
        <w:ind w:firstLine="480" w:firstLineChars="200"/>
        <w:rPr>
          <w:rFonts w:ascii="宋体" w:hAnsi="宋体"/>
          <w:bCs/>
          <w:sz w:val="24"/>
        </w:rPr>
      </w:pPr>
      <w:r>
        <w:rPr>
          <w:rFonts w:hint="eastAsia" w:ascii="宋体" w:hAnsi="宋体"/>
          <w:bCs/>
          <w:sz w:val="24"/>
        </w:rPr>
        <w:t>1）车厢上面有明显积水或煤呈浆糊状。根椐积水区域（长、宽、深均以最大值为准）的面积计算重量，扣除该部分重量。</w:t>
      </w:r>
    </w:p>
    <w:p>
      <w:pPr>
        <w:spacing w:line="360" w:lineRule="auto"/>
        <w:ind w:firstLine="480" w:firstLineChars="200"/>
        <w:rPr>
          <w:rFonts w:ascii="宋体" w:hAnsi="宋体"/>
          <w:bCs/>
          <w:sz w:val="24"/>
        </w:rPr>
      </w:pPr>
      <w:r>
        <w:rPr>
          <w:rFonts w:hint="eastAsia" w:ascii="宋体" w:hAnsi="宋体"/>
          <w:bCs/>
          <w:sz w:val="24"/>
        </w:rPr>
        <w:t>2）到厂煤开边门、车顶挖坑或翻卸车过程中检查，发现大块石头杂物时，每车4～5块扣0.5吨，每车6～10块扣2吨，每车11-20块扣5吨，每车20块以上扣10吨；含矸率≥5%，按每车5吨进行扣除；超过整车20%以上，扣除该车总重；木块、铁器、跳板扣0.5吨/个。</w:t>
      </w:r>
    </w:p>
    <w:p>
      <w:pPr>
        <w:spacing w:line="360" w:lineRule="auto"/>
        <w:ind w:firstLine="480" w:firstLineChars="200"/>
        <w:rPr>
          <w:rFonts w:ascii="宋体" w:hAnsi="宋体"/>
          <w:bCs/>
          <w:sz w:val="24"/>
        </w:rPr>
      </w:pPr>
      <w:r>
        <w:rPr>
          <w:rFonts w:hint="eastAsia" w:ascii="宋体" w:hAnsi="宋体"/>
          <w:bCs/>
          <w:sz w:val="24"/>
        </w:rPr>
        <w:t>3）在到厂验收过程中，目测或检查发现装车可疑或发现掺杂使假时，买方立即通过电话和手机短信告知卖方（合同签字人），买方验收人员采取以下方法验证：人工取夹层煤样与机采综合样对比，干基高位热值差≤1.7MJ/Kg，则视为正常装车，以正样化验结果作为结算依据。</w:t>
      </w:r>
    </w:p>
    <w:p>
      <w:pPr>
        <w:spacing w:line="360" w:lineRule="auto"/>
        <w:ind w:firstLine="480" w:firstLineChars="200"/>
        <w:rPr>
          <w:rFonts w:ascii="宋体" w:hAnsi="宋体"/>
          <w:bCs/>
          <w:sz w:val="24"/>
        </w:rPr>
      </w:pPr>
      <w:r>
        <w:rPr>
          <w:rFonts w:hint="eastAsia" w:ascii="宋体" w:hAnsi="宋体"/>
          <w:bCs/>
          <w:sz w:val="24"/>
        </w:rPr>
        <w:t>4）人工取夹层煤样与机采综合样对比，1.7MJ/Kg＜干基高位热值差≤3.4MJ/Kg，视为该批次来煤较严重掺杂使假，该批次来煤按照对比煤样热值较低的化验指标单独结算；同时该批次来煤质量参与结算周期加权平均。</w:t>
      </w:r>
    </w:p>
    <w:p>
      <w:pPr>
        <w:spacing w:line="360" w:lineRule="auto"/>
        <w:ind w:firstLine="480" w:firstLineChars="200"/>
        <w:rPr>
          <w:rFonts w:ascii="宋体" w:hAnsi="宋体"/>
          <w:bCs/>
          <w:sz w:val="24"/>
        </w:rPr>
      </w:pPr>
      <w:r>
        <w:rPr>
          <w:rFonts w:hint="eastAsia" w:ascii="宋体" w:hAnsi="宋体"/>
          <w:bCs/>
          <w:sz w:val="24"/>
        </w:rPr>
        <w:t>5）人工取夹层煤样与机采综合样对比，干基高位热值差＞3.4MJ/Kg，视为该批次来煤严重掺杂使假，该批次来煤只支付铁路运费；同时该批次来煤质量参与结算周期加权平均。</w:t>
      </w:r>
    </w:p>
    <w:p>
      <w:pPr>
        <w:spacing w:line="360" w:lineRule="auto"/>
        <w:ind w:firstLine="480" w:firstLineChars="200"/>
        <w:rPr>
          <w:rFonts w:ascii="宋体" w:hAnsi="宋体"/>
          <w:bCs/>
          <w:sz w:val="24"/>
        </w:rPr>
      </w:pPr>
      <w:r>
        <w:rPr>
          <w:rFonts w:hint="eastAsia" w:ascii="宋体" w:hAnsi="宋体"/>
          <w:bCs/>
          <w:sz w:val="24"/>
        </w:rPr>
        <w:t>6）煤炭到厂后，买方现场发现卖方的煤炭存在掺杂使假现象，卖方应在30分钟（起始时间以手机信息、电话通讯记录时间为准）内到达现场并签字确认；未能在30分钟内到达现场，但要求现场确认异常，需保留现场车辆等待，卖方应在8小时（起始时间以手机信息、电话通讯记录时间为准）内到达，到达现场确认异常情况属实，期间产生的费用按1000元/小时由供应商承担；不能按时到达，视同认可煤质异常的处置方案。若无需现场确认需求，电厂保留相关资料备查。</w:t>
      </w:r>
    </w:p>
    <w:p>
      <w:pPr>
        <w:spacing w:beforeLines="50" w:line="360" w:lineRule="auto"/>
        <w:ind w:right="-357" w:rightChars="-170"/>
        <w:rPr>
          <w:rFonts w:ascii="宋体" w:hAnsi="宋体"/>
          <w:b/>
          <w:sz w:val="24"/>
        </w:rPr>
      </w:pPr>
      <w:r>
        <w:rPr>
          <w:rFonts w:hint="eastAsia" w:ascii="宋体" w:hAnsi="宋体"/>
          <w:b/>
          <w:sz w:val="24"/>
        </w:rPr>
        <w:t>十</w:t>
      </w:r>
      <w:r>
        <w:rPr>
          <w:rFonts w:hint="eastAsia" w:ascii="宋体" w:hAnsi="宋体"/>
          <w:b/>
          <w:sz w:val="24"/>
          <w:lang w:eastAsia="zh-CN"/>
        </w:rPr>
        <w:t>一</w:t>
      </w:r>
      <w:r>
        <w:rPr>
          <w:rFonts w:hint="eastAsia" w:ascii="宋体" w:hAnsi="宋体"/>
          <w:b/>
          <w:sz w:val="24"/>
        </w:rPr>
        <w:t>、煤质预报</w:t>
      </w:r>
    </w:p>
    <w:p>
      <w:pPr>
        <w:spacing w:line="360" w:lineRule="auto"/>
        <w:ind w:firstLine="480" w:firstLineChars="200"/>
        <w:rPr>
          <w:rFonts w:ascii="宋体" w:hAnsi="宋体"/>
          <w:bCs/>
          <w:sz w:val="24"/>
        </w:rPr>
      </w:pPr>
      <w:r>
        <w:rPr>
          <w:rFonts w:hint="eastAsia" w:ascii="宋体" w:hAnsi="宋体"/>
          <w:bCs/>
          <w:sz w:val="24"/>
        </w:rPr>
        <w:t>1、卖方应在装车当天和次日，用传真、邮件或手机微信信息方式将发运煤炭情况告知买方，内容包括：发运量（车数）、车号、煤质（收到基低位热值Qnet,ar、干燥基全硫St,d、干燥无灰基挥发分Vdaf）、发运站、起票日期、托运单位。</w:t>
      </w:r>
    </w:p>
    <w:p>
      <w:pPr>
        <w:spacing w:line="360" w:lineRule="auto"/>
        <w:ind w:firstLine="480" w:firstLineChars="200"/>
        <w:rPr>
          <w:rFonts w:ascii="宋体" w:hAnsi="宋体"/>
          <w:bCs/>
          <w:sz w:val="24"/>
          <w:u w:val="single"/>
        </w:rPr>
      </w:pPr>
      <w:r>
        <w:rPr>
          <w:rFonts w:hint="eastAsia" w:ascii="宋体" w:hAnsi="宋体"/>
          <w:bCs/>
          <w:sz w:val="24"/>
        </w:rPr>
        <w:t>2、合同约定煤质与实际到厂加权煤质指标偏差低于95%时，在供应商评审时将纳入信誉度不良记录考核。</w:t>
      </w:r>
    </w:p>
    <w:p>
      <w:pPr>
        <w:spacing w:line="360" w:lineRule="auto"/>
        <w:ind w:firstLine="480" w:firstLineChars="200"/>
        <w:rPr>
          <w:rFonts w:ascii="宋体" w:hAnsi="宋体"/>
          <w:bCs/>
          <w:sz w:val="24"/>
        </w:rPr>
      </w:pPr>
      <w:r>
        <w:rPr>
          <w:rFonts w:hint="eastAsia" w:ascii="宋体" w:hAnsi="宋体"/>
          <w:bCs/>
          <w:sz w:val="24"/>
        </w:rPr>
        <w:t>3、煤质预报联系方式：①手机号：18786436697；②传真号：0855-5825079；③邮箱号：</w:t>
      </w:r>
      <w:r>
        <w:fldChar w:fldCharType="begin"/>
      </w:r>
      <w:r>
        <w:instrText xml:space="preserve"> HYPERLINK "mailto:2201367205@qq.com" </w:instrText>
      </w:r>
      <w:r>
        <w:fldChar w:fldCharType="separate"/>
      </w:r>
      <w:r>
        <w:rPr>
          <w:rFonts w:ascii="宋体" w:hAnsi="宋体"/>
          <w:bCs/>
          <w:sz w:val="24"/>
        </w:rPr>
        <w:t>2201367205</w:t>
      </w:r>
      <w:r>
        <w:rPr>
          <w:rFonts w:hint="eastAsia" w:ascii="宋体" w:hAnsi="宋体"/>
          <w:bCs/>
          <w:sz w:val="24"/>
        </w:rPr>
        <w:t>@qq.com</w:t>
      </w:r>
      <w:r>
        <w:rPr>
          <w:rFonts w:hint="eastAsia" w:ascii="宋体" w:hAnsi="宋体"/>
          <w:bCs/>
          <w:sz w:val="24"/>
        </w:rPr>
        <w:fldChar w:fldCharType="end"/>
      </w:r>
      <w:r>
        <w:rPr>
          <w:rFonts w:hint="eastAsia" w:ascii="宋体" w:hAnsi="宋体"/>
          <w:bCs/>
          <w:sz w:val="24"/>
        </w:rPr>
        <w:t>。</w:t>
      </w:r>
    </w:p>
    <w:p>
      <w:pPr>
        <w:spacing w:beforeLines="50" w:line="360" w:lineRule="auto"/>
        <w:ind w:right="-357" w:rightChars="-170"/>
        <w:rPr>
          <w:rFonts w:ascii="宋体" w:hAnsi="宋体"/>
          <w:b/>
          <w:bCs/>
          <w:sz w:val="24"/>
        </w:rPr>
      </w:pPr>
      <w:r>
        <w:rPr>
          <w:rFonts w:hint="eastAsia" w:ascii="宋体" w:hAnsi="宋体"/>
          <w:b/>
          <w:bCs/>
          <w:sz w:val="24"/>
        </w:rPr>
        <w:t>十</w:t>
      </w:r>
      <w:r>
        <w:rPr>
          <w:rFonts w:hint="eastAsia" w:ascii="宋体" w:hAnsi="宋体"/>
          <w:b/>
          <w:bCs/>
          <w:sz w:val="24"/>
          <w:lang w:eastAsia="zh-CN"/>
        </w:rPr>
        <w:t>二</w:t>
      </w:r>
      <w:r>
        <w:rPr>
          <w:rFonts w:hint="eastAsia" w:ascii="宋体" w:hAnsi="宋体"/>
          <w:b/>
          <w:bCs/>
          <w:sz w:val="24"/>
        </w:rPr>
        <w:t>、铁路</w:t>
      </w:r>
      <w:r>
        <w:rPr>
          <w:rFonts w:hint="eastAsia" w:ascii="宋体" w:hAnsi="宋体"/>
          <w:b/>
          <w:bCs/>
          <w:sz w:val="24"/>
          <w:lang w:eastAsia="zh-CN"/>
        </w:rPr>
        <w:t>电子</w:t>
      </w:r>
      <w:r>
        <w:rPr>
          <w:rFonts w:hint="eastAsia" w:ascii="宋体" w:hAnsi="宋体"/>
          <w:b/>
          <w:bCs/>
          <w:sz w:val="24"/>
        </w:rPr>
        <w:t>货票、铁路</w:t>
      </w:r>
      <w:r>
        <w:rPr>
          <w:rFonts w:hint="eastAsia" w:ascii="宋体" w:hAnsi="宋体"/>
          <w:b/>
          <w:bCs/>
          <w:sz w:val="24"/>
          <w:lang w:eastAsia="zh-CN"/>
        </w:rPr>
        <w:t>电子</w:t>
      </w:r>
      <w:r>
        <w:rPr>
          <w:rFonts w:hint="eastAsia" w:ascii="宋体" w:hAnsi="宋体"/>
          <w:b/>
          <w:bCs/>
          <w:sz w:val="24"/>
        </w:rPr>
        <w:t>货物运单约定事项</w:t>
      </w:r>
    </w:p>
    <w:p>
      <w:pPr>
        <w:spacing w:line="360" w:lineRule="auto"/>
        <w:ind w:firstLine="480" w:firstLineChars="200"/>
        <w:rPr>
          <w:rFonts w:ascii="宋体" w:hAnsi="宋体"/>
          <w:bCs/>
          <w:sz w:val="24"/>
        </w:rPr>
      </w:pPr>
      <w:r>
        <w:rPr>
          <w:rFonts w:hint="eastAsia" w:ascii="宋体" w:hAnsi="宋体"/>
          <w:bCs/>
          <w:sz w:val="24"/>
        </w:rPr>
        <w:t>1、收货人名称、到站应清晰、准确填写为贵州黔东电力有限公司、羊坪。</w:t>
      </w:r>
    </w:p>
    <w:p>
      <w:pPr>
        <w:spacing w:line="360" w:lineRule="auto"/>
        <w:ind w:firstLine="480" w:firstLineChars="200"/>
        <w:rPr>
          <w:rFonts w:ascii="宋体" w:hAnsi="宋体"/>
          <w:bCs/>
          <w:sz w:val="24"/>
        </w:rPr>
      </w:pPr>
      <w:r>
        <w:rPr>
          <w:rFonts w:hint="eastAsia" w:ascii="宋体" w:hAnsi="宋体"/>
          <w:bCs/>
          <w:sz w:val="24"/>
        </w:rPr>
        <w:t>2、托运人名称及地址应准确填写卖方公司全称，如托运人为卖方，在“记事”栏中再次明确卖方公司全称；如托运人委托其他公司代请车发运的，必须在</w:t>
      </w:r>
      <w:r>
        <w:rPr>
          <w:rFonts w:hint="eastAsia" w:ascii="宋体" w:hAnsi="宋体"/>
          <w:bCs/>
          <w:sz w:val="24"/>
          <w:lang w:eastAsia="zh-CN"/>
        </w:rPr>
        <w:t>电子</w:t>
      </w:r>
      <w:r>
        <w:rPr>
          <w:rFonts w:hint="eastAsia" w:ascii="宋体" w:hAnsi="宋体"/>
          <w:bCs/>
          <w:sz w:val="24"/>
        </w:rPr>
        <w:t>货物运单的“记事”栏中准确填写代卖方公司（全称）发运；如未</w:t>
      </w:r>
      <w:r>
        <w:rPr>
          <w:rFonts w:hint="eastAsia" w:ascii="宋体" w:hAnsi="宋体"/>
          <w:bCs/>
          <w:sz w:val="24"/>
          <w:lang w:eastAsia="zh-CN"/>
        </w:rPr>
        <w:t>在电子货物运单上</w:t>
      </w:r>
      <w:r>
        <w:rPr>
          <w:rFonts w:hint="eastAsia" w:ascii="宋体" w:hAnsi="宋体"/>
          <w:bCs/>
          <w:sz w:val="24"/>
        </w:rPr>
        <w:t>按要求标明，</w:t>
      </w:r>
      <w:r>
        <w:rPr>
          <w:rFonts w:hint="eastAsia" w:ascii="宋体" w:hAnsi="宋体"/>
          <w:bCs/>
          <w:sz w:val="24"/>
          <w:lang w:val="zh-CN"/>
        </w:rPr>
        <w:t>考核100元/车，且买方有权拒收。</w:t>
      </w:r>
    </w:p>
    <w:p>
      <w:pPr>
        <w:spacing w:line="360" w:lineRule="auto"/>
        <w:ind w:firstLine="480" w:firstLineChars="200"/>
        <w:rPr>
          <w:rFonts w:ascii="宋体" w:hAnsi="宋体"/>
          <w:bCs/>
          <w:sz w:val="24"/>
        </w:rPr>
      </w:pPr>
      <w:r>
        <w:rPr>
          <w:rFonts w:hint="eastAsia" w:ascii="宋体" w:hAnsi="宋体"/>
          <w:bCs/>
          <w:sz w:val="24"/>
        </w:rPr>
        <w:t>3、卖方有义务要求铁路部门保证“发站承运日期</w:t>
      </w:r>
      <w:r>
        <w:rPr>
          <w:rFonts w:hint="eastAsia" w:ascii="宋体" w:hAnsi="宋体"/>
          <w:bCs/>
          <w:sz w:val="24"/>
          <w:lang w:eastAsia="zh-CN"/>
        </w:rPr>
        <w:t>或制单日期</w:t>
      </w:r>
      <w:r>
        <w:rPr>
          <w:rFonts w:hint="eastAsia" w:ascii="宋体" w:hAnsi="宋体"/>
          <w:bCs/>
          <w:sz w:val="24"/>
        </w:rPr>
        <w:t>”、“标重”、“车号”、“发站”“货票号”等准确、清晰；</w:t>
      </w:r>
    </w:p>
    <w:p>
      <w:pPr>
        <w:spacing w:line="360" w:lineRule="auto"/>
        <w:ind w:firstLine="480" w:firstLineChars="200"/>
        <w:rPr>
          <w:rFonts w:ascii="宋体" w:hAnsi="宋体"/>
          <w:bCs/>
          <w:sz w:val="24"/>
        </w:rPr>
      </w:pPr>
      <w:r>
        <w:rPr>
          <w:rFonts w:hint="eastAsia" w:ascii="宋体" w:hAnsi="宋体"/>
          <w:bCs/>
          <w:sz w:val="24"/>
        </w:rPr>
        <w:t>4、因以上原因发生错收、漏收、结算延期、混样、结算纠纷等一切事宜，均由卖方负责并赔偿损失。</w:t>
      </w:r>
    </w:p>
    <w:p>
      <w:pPr>
        <w:spacing w:line="360" w:lineRule="auto"/>
        <w:ind w:firstLine="480" w:firstLineChars="200"/>
        <w:rPr>
          <w:rFonts w:ascii="宋体" w:hAnsi="宋体"/>
          <w:bCs/>
          <w:sz w:val="24"/>
        </w:rPr>
      </w:pPr>
      <w:r>
        <w:rPr>
          <w:rFonts w:hint="eastAsia" w:ascii="宋体" w:hAnsi="宋体"/>
          <w:bCs/>
          <w:sz w:val="24"/>
        </w:rPr>
        <w:t>5、增值税专用发票（9%和6%）相应内容：</w:t>
      </w:r>
    </w:p>
    <w:p>
      <w:pPr>
        <w:spacing w:line="360" w:lineRule="auto"/>
        <w:ind w:firstLine="480" w:firstLineChars="200"/>
        <w:rPr>
          <w:rFonts w:ascii="宋体" w:hAnsi="宋体"/>
          <w:bCs/>
          <w:sz w:val="24"/>
        </w:rPr>
      </w:pPr>
      <w:r>
        <w:rPr>
          <w:rFonts w:hint="eastAsia" w:ascii="宋体" w:hAnsi="宋体"/>
          <w:bCs/>
          <w:sz w:val="24"/>
        </w:rPr>
        <w:t>1）购买方：名称、纳税人识别号、地址、电话、开户行及账号：贵州黔东电力有限公司相应内容（以合同中签字盖章为准）。</w:t>
      </w:r>
    </w:p>
    <w:p>
      <w:pPr>
        <w:spacing w:line="360" w:lineRule="auto"/>
        <w:ind w:firstLine="480" w:firstLineChars="200"/>
        <w:rPr>
          <w:rFonts w:ascii="宋体" w:hAnsi="宋体"/>
          <w:bCs/>
          <w:sz w:val="24"/>
        </w:rPr>
      </w:pPr>
      <w:r>
        <w:rPr>
          <w:rFonts w:hint="eastAsia" w:ascii="宋体" w:hAnsi="宋体"/>
          <w:bCs/>
          <w:sz w:val="24"/>
        </w:rPr>
        <w:t>2）销售方：名称、纳税人识别号、地址、电话、开户行及账号：煤炭发运站（铁路部门）相应内容。</w:t>
      </w:r>
    </w:p>
    <w:p>
      <w:pPr>
        <w:spacing w:line="360" w:lineRule="auto"/>
        <w:ind w:firstLine="480" w:firstLineChars="200"/>
        <w:rPr>
          <w:rFonts w:ascii="宋体" w:hAnsi="宋体"/>
          <w:bCs/>
          <w:sz w:val="24"/>
        </w:rPr>
      </w:pPr>
      <w:r>
        <w:rPr>
          <w:rFonts w:hint="eastAsia" w:ascii="宋体" w:hAnsi="宋体"/>
          <w:bCs/>
          <w:sz w:val="24"/>
        </w:rPr>
        <w:t>3）销售方发票专用章必须清晰完整，否则无效。</w:t>
      </w:r>
    </w:p>
    <w:p>
      <w:pPr>
        <w:spacing w:beforeLines="50" w:line="360" w:lineRule="auto"/>
        <w:ind w:right="-357" w:rightChars="-170"/>
        <w:rPr>
          <w:rFonts w:ascii="宋体" w:hAnsi="宋体"/>
          <w:b/>
          <w:bCs/>
          <w:sz w:val="24"/>
        </w:rPr>
      </w:pPr>
      <w:r>
        <w:rPr>
          <w:rFonts w:hint="eastAsia" w:ascii="宋体" w:hAnsi="宋体"/>
          <w:b/>
          <w:bCs/>
          <w:sz w:val="24"/>
        </w:rPr>
        <w:t>十</w:t>
      </w:r>
      <w:r>
        <w:rPr>
          <w:rFonts w:hint="eastAsia" w:ascii="宋体" w:hAnsi="宋体"/>
          <w:b/>
          <w:bCs/>
          <w:sz w:val="24"/>
          <w:lang w:eastAsia="zh-CN"/>
        </w:rPr>
        <w:t>三</w:t>
      </w:r>
      <w:r>
        <w:rPr>
          <w:rFonts w:hint="eastAsia" w:ascii="宋体" w:hAnsi="宋体"/>
          <w:b/>
          <w:bCs/>
          <w:sz w:val="24"/>
        </w:rPr>
        <w:t>、廉政条款</w:t>
      </w:r>
    </w:p>
    <w:p>
      <w:pPr>
        <w:spacing w:line="360" w:lineRule="auto"/>
        <w:ind w:firstLine="480" w:firstLineChars="200"/>
        <w:rPr>
          <w:rFonts w:ascii="宋体" w:hAnsi="宋体"/>
          <w:bCs/>
          <w:sz w:val="24"/>
        </w:rPr>
      </w:pPr>
      <w:r>
        <w:rPr>
          <w:rFonts w:hint="eastAsia" w:ascii="宋体" w:hAnsi="宋体"/>
          <w:bCs/>
          <w:sz w:val="24"/>
        </w:rPr>
        <w:t>为加强对本合同执行的监督，依法规范双方在合同签订和执行中的廉政行为，防止违法违纪行为的发生，经双方协商，愿意共同履行以下职责：</w:t>
      </w:r>
    </w:p>
    <w:p>
      <w:pPr>
        <w:spacing w:line="360" w:lineRule="auto"/>
        <w:ind w:firstLine="480" w:firstLineChars="200"/>
        <w:rPr>
          <w:rFonts w:ascii="宋体" w:hAnsi="宋体"/>
          <w:bCs/>
          <w:sz w:val="24"/>
        </w:rPr>
      </w:pPr>
      <w:r>
        <w:rPr>
          <w:rFonts w:hint="eastAsia" w:ascii="宋体" w:hAnsi="宋体"/>
          <w:bCs/>
          <w:sz w:val="24"/>
        </w:rPr>
        <w:t>1、买方责任</w:t>
      </w:r>
    </w:p>
    <w:p>
      <w:pPr>
        <w:spacing w:line="360" w:lineRule="auto"/>
        <w:ind w:firstLine="480" w:firstLineChars="200"/>
        <w:rPr>
          <w:rFonts w:ascii="宋体" w:hAnsi="宋体"/>
          <w:bCs/>
          <w:sz w:val="24"/>
        </w:rPr>
      </w:pPr>
      <w:r>
        <w:rPr>
          <w:rFonts w:hint="eastAsia" w:ascii="宋体" w:hAnsi="宋体"/>
          <w:bCs/>
          <w:sz w:val="24"/>
        </w:rPr>
        <w:t>1.1、不利用工作之便索要或接受卖方的礼品、礼金、回扣、各种有价证券及其他支付凭证等。</w:t>
      </w:r>
    </w:p>
    <w:p>
      <w:pPr>
        <w:spacing w:line="360" w:lineRule="auto"/>
        <w:ind w:firstLine="480" w:firstLineChars="200"/>
        <w:rPr>
          <w:rFonts w:ascii="宋体" w:hAnsi="宋体"/>
          <w:bCs/>
          <w:sz w:val="24"/>
        </w:rPr>
      </w:pPr>
      <w:r>
        <w:rPr>
          <w:rFonts w:hint="eastAsia" w:ascii="宋体" w:hAnsi="宋体"/>
          <w:bCs/>
          <w:sz w:val="24"/>
        </w:rPr>
        <w:t>1.2、不利用工作之便接受卖方提供的通讯工具、交通工具、高档办公用品及其它物品等。</w:t>
      </w:r>
    </w:p>
    <w:p>
      <w:pPr>
        <w:spacing w:line="360" w:lineRule="auto"/>
        <w:ind w:firstLine="480" w:firstLineChars="200"/>
        <w:rPr>
          <w:rFonts w:ascii="宋体" w:hAnsi="宋体"/>
          <w:bCs/>
          <w:sz w:val="24"/>
        </w:rPr>
      </w:pPr>
      <w:r>
        <w:rPr>
          <w:rFonts w:hint="eastAsia" w:ascii="宋体" w:hAnsi="宋体"/>
          <w:bCs/>
          <w:sz w:val="24"/>
        </w:rPr>
        <w:t>1.3、不利用工作之便为亲友谋取私利，让其从事与项目有关的材料供应、项目分包、项目装璜、材料加工等活动。</w:t>
      </w:r>
    </w:p>
    <w:p>
      <w:pPr>
        <w:spacing w:line="360" w:lineRule="auto"/>
        <w:ind w:firstLine="480" w:firstLineChars="200"/>
        <w:rPr>
          <w:rFonts w:ascii="宋体" w:hAnsi="宋体"/>
          <w:bCs/>
          <w:sz w:val="24"/>
        </w:rPr>
      </w:pPr>
      <w:r>
        <w:rPr>
          <w:rFonts w:hint="eastAsia" w:ascii="宋体" w:hAnsi="宋体"/>
          <w:bCs/>
          <w:sz w:val="24"/>
        </w:rPr>
        <w:t>1.4、不在卖方报销任何应由买方或个人支付的费用等。</w:t>
      </w:r>
    </w:p>
    <w:p>
      <w:pPr>
        <w:spacing w:line="360" w:lineRule="auto"/>
        <w:ind w:firstLine="480" w:firstLineChars="200"/>
        <w:rPr>
          <w:rFonts w:ascii="宋体" w:hAnsi="宋体"/>
          <w:bCs/>
          <w:sz w:val="24"/>
        </w:rPr>
      </w:pPr>
      <w:r>
        <w:rPr>
          <w:rFonts w:hint="eastAsia" w:ascii="宋体" w:hAnsi="宋体"/>
          <w:bCs/>
          <w:sz w:val="24"/>
        </w:rPr>
        <w:t>1.5、不参加由卖方提供的高档宴请、娱乐、旅游等消费活动。</w:t>
      </w:r>
    </w:p>
    <w:p>
      <w:pPr>
        <w:spacing w:line="360" w:lineRule="auto"/>
        <w:ind w:firstLine="480" w:firstLineChars="200"/>
        <w:rPr>
          <w:rFonts w:ascii="宋体" w:hAnsi="宋体"/>
          <w:bCs/>
          <w:sz w:val="24"/>
        </w:rPr>
      </w:pPr>
      <w:r>
        <w:rPr>
          <w:rFonts w:hint="eastAsia" w:ascii="宋体" w:hAnsi="宋体"/>
          <w:bCs/>
          <w:sz w:val="24"/>
        </w:rPr>
        <w:t>2、卖方责任</w:t>
      </w:r>
    </w:p>
    <w:p>
      <w:pPr>
        <w:spacing w:line="360" w:lineRule="auto"/>
        <w:ind w:firstLine="480" w:firstLineChars="200"/>
        <w:rPr>
          <w:rFonts w:ascii="宋体" w:hAnsi="宋体"/>
          <w:bCs/>
          <w:sz w:val="24"/>
        </w:rPr>
      </w:pPr>
      <w:r>
        <w:rPr>
          <w:rFonts w:hint="eastAsia" w:ascii="宋体" w:hAnsi="宋体"/>
          <w:bCs/>
          <w:sz w:val="24"/>
        </w:rPr>
        <w:t>2.1、不以任何名义向买方人员赠送钱物和有价证券。</w:t>
      </w:r>
    </w:p>
    <w:p>
      <w:pPr>
        <w:spacing w:line="360" w:lineRule="auto"/>
        <w:ind w:firstLine="480" w:firstLineChars="200"/>
        <w:rPr>
          <w:rFonts w:ascii="宋体" w:hAnsi="宋体"/>
          <w:bCs/>
          <w:sz w:val="24"/>
        </w:rPr>
      </w:pPr>
      <w:r>
        <w:rPr>
          <w:rFonts w:ascii="宋体" w:hAnsi="宋体"/>
          <w:bCs/>
          <w:sz w:val="24"/>
        </w:rPr>
        <w:t>2.</w:t>
      </w:r>
      <w:r>
        <w:rPr>
          <w:rFonts w:hint="eastAsia" w:ascii="宋体" w:hAnsi="宋体"/>
          <w:bCs/>
          <w:sz w:val="24"/>
        </w:rPr>
        <w:t>2、不以任何名义为买方及其工作人员报销应由买方单位或个人支付的任何费用。</w:t>
      </w:r>
    </w:p>
    <w:p>
      <w:pPr>
        <w:spacing w:line="360" w:lineRule="auto"/>
        <w:ind w:firstLine="480" w:firstLineChars="200"/>
        <w:rPr>
          <w:rFonts w:ascii="宋体" w:hAnsi="宋体"/>
          <w:bCs/>
          <w:sz w:val="24"/>
        </w:rPr>
      </w:pPr>
      <w:r>
        <w:rPr>
          <w:rFonts w:hint="eastAsia" w:ascii="宋体" w:hAnsi="宋体"/>
          <w:bCs/>
          <w:sz w:val="24"/>
        </w:rPr>
        <w:t>2.3、不为买方提供高档宴请、娱乐、旅游等消费活动。</w:t>
      </w:r>
    </w:p>
    <w:p>
      <w:pPr>
        <w:spacing w:line="360" w:lineRule="auto"/>
        <w:ind w:firstLine="480" w:firstLineChars="200"/>
        <w:rPr>
          <w:rFonts w:ascii="宋体" w:hAnsi="宋体"/>
          <w:bCs/>
          <w:sz w:val="24"/>
        </w:rPr>
      </w:pPr>
      <w:r>
        <w:rPr>
          <w:rFonts w:hint="eastAsia" w:ascii="宋体" w:hAnsi="宋体"/>
          <w:bCs/>
          <w:sz w:val="24"/>
        </w:rPr>
        <w:t>2.4、不以任何方式或手段损害买方利益。</w:t>
      </w:r>
    </w:p>
    <w:p>
      <w:pPr>
        <w:spacing w:line="360" w:lineRule="auto"/>
        <w:ind w:firstLine="480" w:firstLineChars="200"/>
        <w:rPr>
          <w:rFonts w:ascii="宋体" w:hAnsi="宋体"/>
          <w:bCs/>
          <w:sz w:val="24"/>
        </w:rPr>
      </w:pPr>
      <w:r>
        <w:rPr>
          <w:rFonts w:hint="eastAsia" w:ascii="宋体" w:hAnsi="宋体"/>
          <w:bCs/>
          <w:sz w:val="24"/>
        </w:rPr>
        <w:t>3、买方、卖方双方共同责任</w:t>
      </w:r>
    </w:p>
    <w:p>
      <w:pPr>
        <w:spacing w:line="360" w:lineRule="auto"/>
        <w:ind w:firstLine="480" w:firstLineChars="200"/>
        <w:rPr>
          <w:rFonts w:ascii="宋体" w:hAnsi="宋体"/>
          <w:bCs/>
          <w:sz w:val="24"/>
        </w:rPr>
      </w:pPr>
      <w:r>
        <w:rPr>
          <w:rFonts w:ascii="宋体" w:hAnsi="宋体"/>
          <w:bCs/>
          <w:sz w:val="24"/>
        </w:rPr>
        <w:t>3.1</w:t>
      </w:r>
      <w:r>
        <w:rPr>
          <w:rFonts w:hint="eastAsia" w:ascii="宋体" w:hAnsi="宋体"/>
          <w:bCs/>
          <w:sz w:val="24"/>
        </w:rPr>
        <w:t>、不在非公务场合谈业务。</w:t>
      </w:r>
    </w:p>
    <w:p>
      <w:pPr>
        <w:spacing w:line="360" w:lineRule="auto"/>
        <w:ind w:firstLine="480" w:firstLineChars="200"/>
        <w:rPr>
          <w:rFonts w:ascii="宋体" w:hAnsi="宋体"/>
          <w:bCs/>
          <w:sz w:val="24"/>
        </w:rPr>
      </w:pPr>
      <w:r>
        <w:rPr>
          <w:rFonts w:hint="eastAsia" w:ascii="宋体" w:hAnsi="宋体"/>
          <w:bCs/>
          <w:sz w:val="24"/>
        </w:rPr>
        <w:t>3.2、不一对一谈业务。</w:t>
      </w:r>
    </w:p>
    <w:p>
      <w:pPr>
        <w:spacing w:line="360" w:lineRule="auto"/>
        <w:ind w:firstLine="480" w:firstLineChars="200"/>
        <w:rPr>
          <w:rFonts w:ascii="宋体" w:hAnsi="宋体"/>
          <w:bCs/>
          <w:sz w:val="24"/>
        </w:rPr>
      </w:pPr>
      <w:r>
        <w:rPr>
          <w:rFonts w:hint="eastAsia" w:ascii="宋体" w:hAnsi="宋体"/>
          <w:bCs/>
          <w:sz w:val="24"/>
        </w:rPr>
        <w:t>3.3、分别对双方所属人员经常进行法制教育和廉政教育。</w:t>
      </w:r>
    </w:p>
    <w:p>
      <w:pPr>
        <w:spacing w:line="360" w:lineRule="auto"/>
        <w:ind w:firstLine="480" w:firstLineChars="200"/>
        <w:rPr>
          <w:rFonts w:ascii="宋体" w:hAnsi="宋体"/>
          <w:bCs/>
          <w:sz w:val="24"/>
        </w:rPr>
      </w:pPr>
      <w:r>
        <w:rPr>
          <w:rFonts w:hint="eastAsia" w:ascii="宋体" w:hAnsi="宋体"/>
          <w:bCs/>
          <w:sz w:val="24"/>
        </w:rPr>
        <w:t>3.4、互相监督，发现重大违规违纪现象时，可向双方监察部门举报。</w:t>
      </w:r>
    </w:p>
    <w:p>
      <w:pPr>
        <w:spacing w:line="360" w:lineRule="auto"/>
        <w:ind w:firstLine="480" w:firstLineChars="200"/>
        <w:rPr>
          <w:rFonts w:ascii="宋体" w:hAnsi="宋体"/>
          <w:bCs/>
          <w:sz w:val="24"/>
        </w:rPr>
      </w:pPr>
      <w:r>
        <w:rPr>
          <w:rFonts w:hint="eastAsia" w:ascii="宋体" w:hAnsi="宋体"/>
          <w:bCs/>
          <w:sz w:val="24"/>
        </w:rPr>
        <w:t>4、违约责任</w:t>
      </w:r>
    </w:p>
    <w:p>
      <w:pPr>
        <w:spacing w:line="360" w:lineRule="auto"/>
        <w:ind w:firstLine="480" w:firstLineChars="200"/>
        <w:rPr>
          <w:rFonts w:ascii="宋体" w:hAnsi="宋体"/>
          <w:bCs/>
          <w:sz w:val="24"/>
        </w:rPr>
      </w:pPr>
      <w:r>
        <w:rPr>
          <w:rFonts w:hint="eastAsia" w:ascii="宋体" w:hAnsi="宋体"/>
          <w:bCs/>
          <w:sz w:val="24"/>
        </w:rPr>
        <w:t>4.1、如买方人员涉及本合同违约，监督部门或单位领导必须按干部、员工管理权限并依据廉政纪律严肃处理，涉及到公司中层领导干部违反本合同条款的，需将处理结果上报国家电力投资集团公司监察与审计部，同时，向卖方通报处理结果。</w:t>
      </w:r>
    </w:p>
    <w:p>
      <w:pPr>
        <w:spacing w:line="360" w:lineRule="auto"/>
        <w:ind w:firstLine="480" w:firstLineChars="200"/>
        <w:rPr>
          <w:rFonts w:ascii="宋体" w:hAnsi="宋体"/>
          <w:bCs/>
          <w:sz w:val="24"/>
        </w:rPr>
      </w:pPr>
      <w:r>
        <w:rPr>
          <w:rFonts w:hint="eastAsia" w:ascii="宋体" w:hAnsi="宋体"/>
          <w:bCs/>
          <w:sz w:val="24"/>
        </w:rPr>
        <w:t>4.2、在竞价和签订合同阶段，如卖方人员涉及本合同违约，买方将视违约情节轻重，对卖方采取警示、宣告竞价结果无效或取消所签订的合同，并禁止三年内在公司系统竞价资格等处理措施。</w:t>
      </w:r>
    </w:p>
    <w:p>
      <w:pPr>
        <w:spacing w:line="360" w:lineRule="auto"/>
        <w:ind w:firstLine="480" w:firstLineChars="200"/>
        <w:rPr>
          <w:rFonts w:ascii="宋体" w:hAnsi="宋体"/>
          <w:bCs/>
          <w:sz w:val="24"/>
        </w:rPr>
      </w:pPr>
      <w:r>
        <w:rPr>
          <w:rFonts w:hint="eastAsia" w:ascii="宋体" w:hAnsi="宋体"/>
          <w:bCs/>
          <w:sz w:val="24"/>
        </w:rPr>
        <w:t>4.3、在本合同执行中，卖方违反了合同中的廉政规定，买方将在合同有效期内，按合同总金额的</w:t>
      </w:r>
      <w:r>
        <w:rPr>
          <w:rFonts w:ascii="宋体" w:hAnsi="宋体"/>
          <w:bCs/>
          <w:sz w:val="24"/>
        </w:rPr>
        <w:t>2%</w:t>
      </w:r>
      <w:r>
        <w:rPr>
          <w:rFonts w:hint="eastAsia" w:ascii="宋体" w:hAnsi="宋体"/>
          <w:bCs/>
          <w:sz w:val="24"/>
        </w:rPr>
        <w:t>扣除合同款，直至终止执行合同。</w:t>
      </w:r>
    </w:p>
    <w:p>
      <w:pPr>
        <w:spacing w:line="360" w:lineRule="auto"/>
        <w:ind w:firstLine="480" w:firstLineChars="200"/>
        <w:rPr>
          <w:rFonts w:ascii="宋体" w:hAnsi="宋体"/>
          <w:bCs/>
          <w:sz w:val="24"/>
        </w:rPr>
      </w:pPr>
      <w:r>
        <w:rPr>
          <w:rFonts w:hint="eastAsia" w:ascii="宋体" w:hAnsi="宋体"/>
          <w:bCs/>
          <w:sz w:val="24"/>
        </w:rPr>
        <w:t>4.4、买方监察部门可约请卖方监察部门对本合同廉政职责的履行情况进行监督检查。</w:t>
      </w:r>
    </w:p>
    <w:p>
      <w:pPr>
        <w:spacing w:line="360" w:lineRule="auto"/>
        <w:ind w:firstLine="480" w:firstLineChars="200"/>
        <w:rPr>
          <w:rFonts w:ascii="宋体" w:hAnsi="宋体"/>
          <w:b/>
          <w:bCs/>
          <w:sz w:val="24"/>
        </w:rPr>
      </w:pPr>
      <w:r>
        <w:rPr>
          <w:rFonts w:hint="eastAsia" w:ascii="宋体" w:hAnsi="宋体"/>
          <w:bCs/>
          <w:sz w:val="24"/>
        </w:rPr>
        <w:t>黔东公司纪委，地址：贵州省镇远县青溪镇五里牌村贵州黔东电力有限公司党群</w:t>
      </w:r>
      <w:r>
        <w:rPr>
          <w:rFonts w:hint="eastAsia" w:ascii="宋体" w:hAnsi="宋体"/>
          <w:bCs/>
          <w:sz w:val="24"/>
          <w:lang w:eastAsia="zh-CN"/>
        </w:rPr>
        <w:t>纪检</w:t>
      </w:r>
      <w:r>
        <w:rPr>
          <w:rFonts w:hint="eastAsia" w:ascii="宋体" w:hAnsi="宋体"/>
          <w:bCs/>
          <w:sz w:val="24"/>
        </w:rPr>
        <w:t>部，邮编：557702,电话：0855-5825059/5053,邮箱：</w:t>
      </w:r>
      <w:r>
        <w:fldChar w:fldCharType="begin"/>
      </w:r>
      <w:r>
        <w:instrText xml:space="preserve"> HYPERLINK "mailto:qdjjjc@tom.com" </w:instrText>
      </w:r>
      <w:r>
        <w:fldChar w:fldCharType="separate"/>
      </w:r>
      <w:r>
        <w:rPr>
          <w:rFonts w:hint="eastAsia" w:ascii="宋体" w:hAnsi="宋体"/>
          <w:bCs/>
          <w:sz w:val="24"/>
        </w:rPr>
        <w:t>qdjjjc@tom.com</w:t>
      </w:r>
      <w:r>
        <w:rPr>
          <w:rFonts w:hint="eastAsia" w:ascii="宋体" w:hAnsi="宋体"/>
          <w:bCs/>
          <w:sz w:val="24"/>
        </w:rPr>
        <w:fldChar w:fldCharType="end"/>
      </w:r>
      <w:r>
        <w:rPr>
          <w:rFonts w:hint="eastAsia" w:ascii="宋体" w:hAnsi="宋体"/>
          <w:bCs/>
          <w:sz w:val="24"/>
        </w:rPr>
        <w:t>。</w:t>
      </w:r>
      <w:r>
        <w:rPr>
          <w:rFonts w:hint="eastAsia" w:ascii="宋体" w:hAnsi="宋体"/>
          <w:b/>
          <w:bCs/>
          <w:sz w:val="24"/>
        </w:rPr>
        <w:t>十</w:t>
      </w:r>
      <w:r>
        <w:rPr>
          <w:rFonts w:hint="eastAsia" w:ascii="宋体" w:hAnsi="宋体"/>
          <w:b/>
          <w:bCs/>
          <w:sz w:val="24"/>
          <w:lang w:eastAsia="zh-CN"/>
        </w:rPr>
        <w:t>四</w:t>
      </w:r>
      <w:r>
        <w:rPr>
          <w:rFonts w:hint="eastAsia" w:ascii="宋体" w:hAnsi="宋体"/>
          <w:b/>
          <w:bCs/>
          <w:sz w:val="24"/>
        </w:rPr>
        <w:t>、其他事项</w:t>
      </w:r>
    </w:p>
    <w:p>
      <w:pPr>
        <w:spacing w:line="360" w:lineRule="auto"/>
        <w:ind w:firstLine="480" w:firstLineChars="200"/>
        <w:rPr>
          <w:rFonts w:ascii="宋体" w:hAnsi="宋体"/>
          <w:bCs/>
          <w:sz w:val="24"/>
        </w:rPr>
      </w:pPr>
      <w:r>
        <w:rPr>
          <w:rFonts w:hint="eastAsia" w:ascii="宋体" w:hAnsi="宋体"/>
          <w:bCs/>
          <w:sz w:val="24"/>
        </w:rPr>
        <w:t>1、本合同自双方签字盖章之日起生效,一式6份，其中正本2份,双方各1份,副本4份,买方3份、卖方1份（正、副本合同多页买卖双方必须加盖骑缝章）。</w:t>
      </w:r>
    </w:p>
    <w:p>
      <w:pPr>
        <w:spacing w:line="360" w:lineRule="auto"/>
        <w:ind w:firstLine="480" w:firstLineChars="200"/>
        <w:rPr>
          <w:rFonts w:ascii="宋体" w:hAnsi="宋体"/>
          <w:bCs/>
          <w:sz w:val="24"/>
        </w:rPr>
      </w:pPr>
      <w:r>
        <w:rPr>
          <w:rFonts w:hint="eastAsia" w:ascii="宋体" w:hAnsi="宋体"/>
          <w:bCs/>
          <w:sz w:val="24"/>
        </w:rPr>
        <w:t>2、凡与本合同有关而引起的一切争议，买卖双方应首先通过友好协商解决，如经协商后仍不能达成一致时，约定提请合同签订地有管辖权的法院诉讼解决。</w:t>
      </w:r>
    </w:p>
    <w:p>
      <w:pPr>
        <w:spacing w:line="360" w:lineRule="auto"/>
        <w:ind w:firstLine="480" w:firstLineChars="200"/>
        <w:rPr>
          <w:rFonts w:ascii="宋体" w:hAnsi="宋体"/>
          <w:bCs/>
          <w:sz w:val="24"/>
        </w:rPr>
      </w:pPr>
      <w:r>
        <w:rPr>
          <w:rFonts w:hint="eastAsia" w:ascii="宋体" w:hAnsi="宋体"/>
          <w:bCs/>
          <w:sz w:val="24"/>
        </w:rPr>
        <w:t>3、如遇到不可抗力的实际困难情况，由买卖双方共同协商处理（如法人变更，单位公章及合同章变更）。</w:t>
      </w:r>
    </w:p>
    <w:p>
      <w:pPr>
        <w:spacing w:line="360" w:lineRule="auto"/>
        <w:ind w:firstLine="480" w:firstLineChars="200"/>
        <w:rPr>
          <w:rFonts w:ascii="宋体" w:hAnsi="宋体"/>
          <w:bCs/>
          <w:sz w:val="24"/>
        </w:rPr>
      </w:pPr>
      <w:r>
        <w:rPr>
          <w:rFonts w:hint="eastAsia" w:ascii="宋体" w:hAnsi="宋体"/>
          <w:bCs/>
          <w:sz w:val="24"/>
        </w:rPr>
        <w:t>4、买卖双方信息以本合同中的信息为准，如有变更需及时来函说明。</w:t>
      </w:r>
    </w:p>
    <w:p>
      <w:pPr>
        <w:spacing w:line="360" w:lineRule="auto"/>
        <w:ind w:firstLine="480" w:firstLineChars="200"/>
        <w:rPr>
          <w:rFonts w:ascii="宋体" w:hAnsi="宋体"/>
          <w:bCs/>
          <w:sz w:val="24"/>
        </w:rPr>
      </w:pPr>
      <w:r>
        <w:rPr>
          <w:rFonts w:hint="eastAsia" w:ascii="宋体" w:hAnsi="宋体"/>
          <w:bCs/>
          <w:sz w:val="24"/>
        </w:rPr>
        <w:t>5、在合同执行期内，如因市场变化等情况，买卖双方经协商达成一致可签订补充协议。</w:t>
      </w:r>
    </w:p>
    <w:p>
      <w:pPr>
        <w:spacing w:line="360" w:lineRule="auto"/>
        <w:ind w:firstLine="480" w:firstLineChars="200"/>
        <w:rPr>
          <w:rFonts w:hint="eastAsia" w:ascii="宋体" w:hAnsi="宋体"/>
          <w:bCs/>
          <w:sz w:val="24"/>
        </w:rPr>
      </w:pPr>
      <w:r>
        <w:rPr>
          <w:rFonts w:hint="eastAsia" w:ascii="宋体" w:hAnsi="宋体"/>
          <w:bCs/>
          <w:sz w:val="24"/>
        </w:rPr>
        <w:t>6、本合同仅用于买卖双方煤炭买卖之用途，卖方不得用于金融理财、担保等其他任何用途，非经买卖双方书面认可，不得债权让与，若卖方违反约定，则视为根本违约，买方有权解除合同，造成损失的，卖方应承担包括但不限于律师费在内的全部损失。</w:t>
      </w:r>
    </w:p>
    <w:p>
      <w:pPr>
        <w:spacing w:line="360" w:lineRule="auto"/>
        <w:ind w:firstLine="480" w:firstLineChars="200"/>
        <w:rPr>
          <w:rFonts w:hint="eastAsia" w:ascii="宋体" w:hAnsi="宋体"/>
          <w:bCs/>
          <w:sz w:val="24"/>
        </w:rPr>
      </w:pPr>
    </w:p>
    <w:p>
      <w:pPr>
        <w:spacing w:line="360" w:lineRule="auto"/>
        <w:ind w:firstLine="480" w:firstLineChars="200"/>
        <w:rPr>
          <w:rFonts w:hint="eastAsia" w:ascii="宋体" w:hAnsi="宋体"/>
          <w:bCs/>
          <w:sz w:val="24"/>
        </w:rPr>
      </w:pPr>
    </w:p>
    <w:p>
      <w:pPr>
        <w:spacing w:line="360" w:lineRule="auto"/>
        <w:ind w:firstLine="480" w:firstLineChars="200"/>
        <w:rPr>
          <w:rFonts w:hint="eastAsia" w:ascii="宋体" w:hAnsi="宋体"/>
          <w:bCs/>
          <w:sz w:val="24"/>
        </w:rPr>
      </w:pPr>
    </w:p>
    <w:p>
      <w:pPr>
        <w:spacing w:line="360" w:lineRule="auto"/>
        <w:ind w:firstLine="480" w:firstLineChars="200"/>
        <w:rPr>
          <w:rFonts w:hint="eastAsia" w:ascii="宋体" w:hAnsi="宋体"/>
          <w:bCs/>
          <w:sz w:val="24"/>
        </w:rPr>
      </w:pPr>
    </w:p>
    <w:p>
      <w:pPr>
        <w:spacing w:line="360" w:lineRule="auto"/>
        <w:ind w:firstLine="480" w:firstLineChars="200"/>
        <w:rPr>
          <w:rFonts w:hint="eastAsia" w:ascii="宋体" w:hAnsi="宋体"/>
          <w:bCs/>
          <w:sz w:val="24"/>
        </w:rPr>
      </w:pPr>
    </w:p>
    <w:p>
      <w:pPr>
        <w:spacing w:line="360" w:lineRule="auto"/>
        <w:ind w:firstLine="480" w:firstLineChars="200"/>
        <w:rPr>
          <w:rFonts w:hint="eastAsia" w:ascii="宋体" w:hAnsi="宋体"/>
          <w:bCs/>
          <w:sz w:val="24"/>
        </w:rPr>
      </w:pPr>
    </w:p>
    <w:p>
      <w:pPr>
        <w:spacing w:line="360" w:lineRule="auto"/>
        <w:ind w:firstLine="480" w:firstLineChars="200"/>
        <w:rPr>
          <w:rFonts w:hint="eastAsia" w:ascii="宋体" w:hAnsi="宋体"/>
          <w:bCs/>
          <w:sz w:val="24"/>
        </w:rPr>
      </w:pPr>
    </w:p>
    <w:p>
      <w:pPr>
        <w:spacing w:line="360" w:lineRule="auto"/>
        <w:ind w:firstLine="480" w:firstLineChars="200"/>
        <w:rPr>
          <w:rFonts w:hint="eastAsia" w:ascii="宋体" w:hAnsi="宋体"/>
          <w:bCs/>
          <w:sz w:val="24"/>
        </w:rPr>
      </w:pPr>
    </w:p>
    <w:p>
      <w:pPr>
        <w:spacing w:line="360" w:lineRule="auto"/>
        <w:ind w:firstLine="480" w:firstLineChars="200"/>
        <w:rPr>
          <w:rFonts w:hint="eastAsia" w:ascii="宋体" w:hAnsi="宋体"/>
          <w:bCs/>
          <w:sz w:val="24"/>
        </w:rPr>
      </w:pPr>
    </w:p>
    <w:p>
      <w:pPr>
        <w:spacing w:line="360" w:lineRule="auto"/>
        <w:ind w:firstLine="480" w:firstLineChars="200"/>
        <w:rPr>
          <w:rFonts w:hint="eastAsia" w:ascii="宋体" w:hAnsi="宋体"/>
          <w:bCs/>
          <w:sz w:val="24"/>
        </w:rPr>
      </w:pPr>
    </w:p>
    <w:p>
      <w:pPr>
        <w:spacing w:line="360" w:lineRule="auto"/>
        <w:ind w:firstLine="480" w:firstLineChars="200"/>
        <w:rPr>
          <w:rFonts w:hint="eastAsia" w:ascii="宋体" w:hAnsi="宋体"/>
          <w:bCs/>
          <w:sz w:val="24"/>
        </w:rPr>
      </w:pPr>
    </w:p>
    <w:tbl>
      <w:tblPr>
        <w:tblStyle w:val="10"/>
        <w:tblpPr w:leftFromText="180" w:rightFromText="180" w:vertAnchor="text" w:horzAnchor="margin" w:tblpY="214"/>
        <w:tblW w:w="9108" w:type="dxa"/>
        <w:tblInd w:w="0" w:type="dxa"/>
        <w:tblLayout w:type="fixed"/>
        <w:tblCellMar>
          <w:top w:w="0" w:type="dxa"/>
          <w:left w:w="108" w:type="dxa"/>
          <w:bottom w:w="0" w:type="dxa"/>
          <w:right w:w="108" w:type="dxa"/>
        </w:tblCellMar>
      </w:tblPr>
      <w:tblGrid>
        <w:gridCol w:w="4626"/>
        <w:gridCol w:w="4482"/>
      </w:tblGrid>
      <w:tr>
        <w:tblPrEx>
          <w:tblLayout w:type="fixed"/>
          <w:tblCellMar>
            <w:top w:w="0" w:type="dxa"/>
            <w:left w:w="108" w:type="dxa"/>
            <w:bottom w:w="0" w:type="dxa"/>
            <w:right w:w="108" w:type="dxa"/>
          </w:tblCellMar>
        </w:tblPrEx>
        <w:trPr>
          <w:trHeight w:val="1091" w:hRule="atLeast"/>
        </w:trPr>
        <w:tc>
          <w:tcPr>
            <w:tcW w:w="4626" w:type="dxa"/>
          </w:tcPr>
          <w:p>
            <w:pPr>
              <w:rPr>
                <w:rFonts w:ascii="宋体" w:hAnsi="宋体"/>
                <w:sz w:val="24"/>
              </w:rPr>
            </w:pPr>
            <w:r>
              <w:rPr>
                <w:rFonts w:hint="eastAsia" w:ascii="宋体" w:hAnsi="宋体"/>
                <w:sz w:val="24"/>
              </w:rPr>
              <w:t xml:space="preserve">买方：贵州黔东电力有限公司                          </w:t>
            </w:r>
          </w:p>
          <w:p>
            <w:pPr>
              <w:ind w:firstLine="1008"/>
              <w:rPr>
                <w:rFonts w:ascii="宋体" w:hAnsi="宋体"/>
                <w:sz w:val="24"/>
              </w:rPr>
            </w:pPr>
          </w:p>
          <w:p>
            <w:pPr>
              <w:rPr>
                <w:rFonts w:ascii="宋体" w:hAnsi="宋体"/>
                <w:sz w:val="24"/>
              </w:rPr>
            </w:pPr>
            <w:r>
              <w:rPr>
                <w:rFonts w:hint="eastAsia" w:ascii="宋体" w:hAnsi="宋体"/>
                <w:sz w:val="24"/>
              </w:rPr>
              <w:t>（单位盖章</w:t>
            </w:r>
            <w:r>
              <w:rPr>
                <w:rFonts w:ascii="宋体" w:hAnsi="宋体"/>
                <w:sz w:val="24"/>
              </w:rPr>
              <w:t>）</w:t>
            </w:r>
          </w:p>
          <w:p>
            <w:pPr>
              <w:rPr>
                <w:rFonts w:ascii="宋体" w:hAnsi="宋体"/>
                <w:sz w:val="24"/>
              </w:rPr>
            </w:pPr>
            <w:r>
              <w:rPr>
                <w:rFonts w:hint="eastAsia" w:ascii="宋体" w:hAnsi="宋体"/>
                <w:sz w:val="24"/>
              </w:rPr>
              <w:t xml:space="preserve">法人代表或其授权代表：              </w:t>
            </w:r>
          </w:p>
        </w:tc>
        <w:tc>
          <w:tcPr>
            <w:tcW w:w="4482" w:type="dxa"/>
          </w:tcPr>
          <w:p>
            <w:pPr>
              <w:rPr>
                <w:rFonts w:ascii="宋体" w:hAnsi="宋体"/>
                <w:sz w:val="24"/>
              </w:rPr>
            </w:pPr>
            <w:r>
              <w:rPr>
                <w:rFonts w:hint="eastAsia" w:ascii="宋体" w:hAnsi="宋体"/>
                <w:sz w:val="24"/>
              </w:rPr>
              <w:t>卖方：************</w:t>
            </w:r>
          </w:p>
          <w:p>
            <w:pPr>
              <w:rPr>
                <w:rFonts w:ascii="宋体" w:hAnsi="宋体"/>
                <w:sz w:val="24"/>
              </w:rPr>
            </w:pPr>
          </w:p>
          <w:p>
            <w:pPr>
              <w:rPr>
                <w:rFonts w:ascii="宋体" w:hAnsi="宋体"/>
                <w:sz w:val="24"/>
              </w:rPr>
            </w:pPr>
            <w:r>
              <w:rPr>
                <w:rFonts w:hint="eastAsia" w:ascii="宋体" w:hAnsi="宋体"/>
                <w:sz w:val="24"/>
              </w:rPr>
              <w:t>（单位盖章）</w:t>
            </w:r>
          </w:p>
          <w:p>
            <w:pPr>
              <w:rPr>
                <w:rFonts w:ascii="宋体" w:hAnsi="宋体"/>
                <w:sz w:val="24"/>
              </w:rPr>
            </w:pPr>
            <w:r>
              <w:rPr>
                <w:rFonts w:hint="eastAsia" w:ascii="宋体" w:hAnsi="宋体"/>
                <w:sz w:val="24"/>
              </w:rPr>
              <w:t xml:space="preserve">法人代表或其授权代表：   </w:t>
            </w:r>
          </w:p>
        </w:tc>
      </w:tr>
      <w:tr>
        <w:tblPrEx>
          <w:tblLayout w:type="fixed"/>
          <w:tblCellMar>
            <w:top w:w="0" w:type="dxa"/>
            <w:left w:w="108" w:type="dxa"/>
            <w:bottom w:w="0" w:type="dxa"/>
            <w:right w:w="108" w:type="dxa"/>
          </w:tblCellMar>
        </w:tblPrEx>
        <w:trPr>
          <w:trHeight w:val="645" w:hRule="atLeast"/>
        </w:trPr>
        <w:tc>
          <w:tcPr>
            <w:tcW w:w="4626" w:type="dxa"/>
            <w:vAlign w:val="center"/>
          </w:tcPr>
          <w:p>
            <w:pPr>
              <w:rPr>
                <w:rFonts w:ascii="宋体" w:hAnsi="宋体"/>
                <w:sz w:val="24"/>
              </w:rPr>
            </w:pPr>
            <w:r>
              <w:rPr>
                <w:rFonts w:hint="eastAsia" w:ascii="宋体" w:hAnsi="宋体"/>
                <w:sz w:val="24"/>
              </w:rPr>
              <w:t>地  址：贵州省镇远县青溪镇</w:t>
            </w:r>
          </w:p>
        </w:tc>
        <w:tc>
          <w:tcPr>
            <w:tcW w:w="4482" w:type="dxa"/>
            <w:vAlign w:val="center"/>
          </w:tcPr>
          <w:p>
            <w:pPr>
              <w:rPr>
                <w:rFonts w:ascii="宋体" w:hAnsi="宋体"/>
                <w:sz w:val="24"/>
              </w:rPr>
            </w:pPr>
            <w:r>
              <w:rPr>
                <w:rFonts w:hint="eastAsia" w:ascii="宋体" w:hAnsi="宋体"/>
                <w:sz w:val="24"/>
              </w:rPr>
              <w:t>地  址：**</w:t>
            </w:r>
          </w:p>
        </w:tc>
      </w:tr>
      <w:tr>
        <w:tblPrEx>
          <w:tblLayout w:type="fixed"/>
          <w:tblCellMar>
            <w:top w:w="0" w:type="dxa"/>
            <w:left w:w="108" w:type="dxa"/>
            <w:bottom w:w="0" w:type="dxa"/>
            <w:right w:w="108" w:type="dxa"/>
          </w:tblCellMar>
        </w:tblPrEx>
        <w:trPr>
          <w:trHeight w:val="448" w:hRule="atLeast"/>
        </w:trPr>
        <w:tc>
          <w:tcPr>
            <w:tcW w:w="4626" w:type="dxa"/>
            <w:vAlign w:val="center"/>
          </w:tcPr>
          <w:p>
            <w:pPr>
              <w:rPr>
                <w:rFonts w:ascii="宋体" w:hAnsi="宋体"/>
                <w:sz w:val="24"/>
              </w:rPr>
            </w:pPr>
            <w:r>
              <w:rPr>
                <w:rFonts w:hint="eastAsia" w:ascii="宋体" w:hAnsi="宋体"/>
                <w:sz w:val="24"/>
              </w:rPr>
              <w:t>联系人：</w:t>
            </w:r>
          </w:p>
        </w:tc>
        <w:tc>
          <w:tcPr>
            <w:tcW w:w="4482" w:type="dxa"/>
            <w:vAlign w:val="center"/>
          </w:tcPr>
          <w:p>
            <w:pPr>
              <w:rPr>
                <w:rFonts w:ascii="宋体" w:hAnsi="宋体"/>
                <w:sz w:val="24"/>
              </w:rPr>
            </w:pPr>
            <w:r>
              <w:rPr>
                <w:rFonts w:hint="eastAsia" w:ascii="宋体" w:hAnsi="宋体"/>
                <w:sz w:val="24"/>
              </w:rPr>
              <w:t>联系人：**</w:t>
            </w:r>
          </w:p>
        </w:tc>
      </w:tr>
      <w:tr>
        <w:tblPrEx>
          <w:tblLayout w:type="fixed"/>
          <w:tblCellMar>
            <w:top w:w="0" w:type="dxa"/>
            <w:left w:w="108" w:type="dxa"/>
            <w:bottom w:w="0" w:type="dxa"/>
            <w:right w:w="108" w:type="dxa"/>
          </w:tblCellMar>
        </w:tblPrEx>
        <w:trPr>
          <w:trHeight w:val="302" w:hRule="atLeast"/>
        </w:trPr>
        <w:tc>
          <w:tcPr>
            <w:tcW w:w="4626" w:type="dxa"/>
            <w:vAlign w:val="center"/>
          </w:tcPr>
          <w:p>
            <w:pPr>
              <w:rPr>
                <w:rFonts w:ascii="宋体" w:hAnsi="宋体"/>
                <w:sz w:val="24"/>
                <w:u w:val="single"/>
              </w:rPr>
            </w:pPr>
            <w:r>
              <w:rPr>
                <w:rFonts w:hint="eastAsia" w:ascii="宋体" w:hAnsi="宋体"/>
                <w:sz w:val="24"/>
              </w:rPr>
              <w:t>联系电话：0855-5825075/5825072</w:t>
            </w:r>
          </w:p>
        </w:tc>
        <w:tc>
          <w:tcPr>
            <w:tcW w:w="4482" w:type="dxa"/>
            <w:vAlign w:val="center"/>
          </w:tcPr>
          <w:p>
            <w:pPr>
              <w:rPr>
                <w:rFonts w:ascii="宋体" w:hAnsi="宋体"/>
                <w:sz w:val="24"/>
              </w:rPr>
            </w:pPr>
            <w:r>
              <w:rPr>
                <w:rFonts w:hint="eastAsia" w:ascii="宋体" w:hAnsi="宋体"/>
                <w:sz w:val="24"/>
              </w:rPr>
              <w:t>电  话：**</w:t>
            </w:r>
          </w:p>
        </w:tc>
      </w:tr>
      <w:tr>
        <w:tblPrEx>
          <w:tblLayout w:type="fixed"/>
          <w:tblCellMar>
            <w:top w:w="0" w:type="dxa"/>
            <w:left w:w="108" w:type="dxa"/>
            <w:bottom w:w="0" w:type="dxa"/>
            <w:right w:w="108" w:type="dxa"/>
          </w:tblCellMar>
        </w:tblPrEx>
        <w:trPr>
          <w:trHeight w:val="280" w:hRule="atLeast"/>
        </w:trPr>
        <w:tc>
          <w:tcPr>
            <w:tcW w:w="4626" w:type="dxa"/>
            <w:vAlign w:val="center"/>
          </w:tcPr>
          <w:p>
            <w:pPr>
              <w:rPr>
                <w:rFonts w:ascii="宋体" w:hAnsi="宋体"/>
                <w:sz w:val="24"/>
              </w:rPr>
            </w:pPr>
            <w:r>
              <w:rPr>
                <w:rFonts w:hint="eastAsia" w:ascii="宋体" w:hAnsi="宋体"/>
                <w:sz w:val="24"/>
              </w:rPr>
              <w:t>传  真：  0855-5825079</w:t>
            </w:r>
          </w:p>
        </w:tc>
        <w:tc>
          <w:tcPr>
            <w:tcW w:w="4482" w:type="dxa"/>
            <w:vAlign w:val="center"/>
          </w:tcPr>
          <w:p>
            <w:pPr>
              <w:rPr>
                <w:rFonts w:ascii="宋体" w:hAnsi="宋体"/>
                <w:sz w:val="24"/>
              </w:rPr>
            </w:pPr>
            <w:r>
              <w:rPr>
                <w:rFonts w:hint="eastAsia" w:ascii="宋体" w:hAnsi="宋体"/>
                <w:sz w:val="24"/>
              </w:rPr>
              <w:t>传  真：</w:t>
            </w:r>
          </w:p>
        </w:tc>
      </w:tr>
      <w:tr>
        <w:tblPrEx>
          <w:tblLayout w:type="fixed"/>
          <w:tblCellMar>
            <w:top w:w="0" w:type="dxa"/>
            <w:left w:w="108" w:type="dxa"/>
            <w:bottom w:w="0" w:type="dxa"/>
            <w:right w:w="108" w:type="dxa"/>
          </w:tblCellMar>
        </w:tblPrEx>
        <w:trPr>
          <w:trHeight w:val="311" w:hRule="atLeast"/>
        </w:trPr>
        <w:tc>
          <w:tcPr>
            <w:tcW w:w="4626" w:type="dxa"/>
            <w:vAlign w:val="center"/>
          </w:tcPr>
          <w:p>
            <w:pPr>
              <w:rPr>
                <w:rFonts w:ascii="宋体" w:hAnsi="宋体"/>
                <w:sz w:val="24"/>
              </w:rPr>
            </w:pPr>
            <w:r>
              <w:rPr>
                <w:rFonts w:hint="eastAsia" w:ascii="宋体" w:hAnsi="宋体"/>
                <w:sz w:val="24"/>
              </w:rPr>
              <w:t>QQ：</w:t>
            </w:r>
            <w:r>
              <w:rPr>
                <w:rFonts w:hint="eastAsia" w:ascii="宋体" w:hAnsi="宋体"/>
                <w:bCs/>
                <w:sz w:val="24"/>
              </w:rPr>
              <w:t>2201367205</w:t>
            </w:r>
          </w:p>
        </w:tc>
        <w:tc>
          <w:tcPr>
            <w:tcW w:w="4482" w:type="dxa"/>
            <w:vAlign w:val="center"/>
          </w:tcPr>
          <w:p>
            <w:pPr>
              <w:rPr>
                <w:rFonts w:ascii="宋体" w:hAnsi="宋体"/>
                <w:sz w:val="24"/>
              </w:rPr>
            </w:pPr>
            <w:r>
              <w:rPr>
                <w:rFonts w:hint="eastAsia" w:ascii="宋体" w:hAnsi="宋体"/>
                <w:sz w:val="24"/>
              </w:rPr>
              <w:t>QQ：**</w:t>
            </w:r>
          </w:p>
        </w:tc>
      </w:tr>
      <w:tr>
        <w:tblPrEx>
          <w:tblLayout w:type="fixed"/>
          <w:tblCellMar>
            <w:top w:w="0" w:type="dxa"/>
            <w:left w:w="108" w:type="dxa"/>
            <w:bottom w:w="0" w:type="dxa"/>
            <w:right w:w="108" w:type="dxa"/>
          </w:tblCellMar>
        </w:tblPrEx>
        <w:trPr>
          <w:trHeight w:val="314" w:hRule="atLeast"/>
        </w:trPr>
        <w:tc>
          <w:tcPr>
            <w:tcW w:w="4626" w:type="dxa"/>
            <w:vAlign w:val="center"/>
          </w:tcPr>
          <w:p>
            <w:pPr>
              <w:rPr>
                <w:rFonts w:ascii="宋体" w:hAnsi="宋体"/>
                <w:sz w:val="24"/>
              </w:rPr>
            </w:pPr>
            <w:r>
              <w:rPr>
                <w:rFonts w:hint="eastAsia" w:ascii="宋体" w:hAnsi="宋体"/>
                <w:sz w:val="24"/>
              </w:rPr>
              <w:t>邮箱：</w:t>
            </w:r>
            <w:r>
              <w:rPr>
                <w:rFonts w:hint="eastAsia" w:ascii="宋体" w:hAnsi="宋体"/>
                <w:bCs/>
                <w:sz w:val="24"/>
              </w:rPr>
              <w:t>2201367205@qq.com</w:t>
            </w:r>
          </w:p>
        </w:tc>
        <w:tc>
          <w:tcPr>
            <w:tcW w:w="4482" w:type="dxa"/>
            <w:vAlign w:val="center"/>
          </w:tcPr>
          <w:p>
            <w:pPr>
              <w:rPr>
                <w:rFonts w:ascii="宋体" w:hAnsi="宋体"/>
                <w:sz w:val="24"/>
              </w:rPr>
            </w:pPr>
            <w:r>
              <w:rPr>
                <w:rFonts w:hint="eastAsia" w:ascii="宋体" w:hAnsi="宋体"/>
                <w:sz w:val="24"/>
              </w:rPr>
              <w:t>邮箱：**</w:t>
            </w:r>
          </w:p>
        </w:tc>
      </w:tr>
      <w:tr>
        <w:tblPrEx>
          <w:tblLayout w:type="fixed"/>
          <w:tblCellMar>
            <w:top w:w="0" w:type="dxa"/>
            <w:left w:w="108" w:type="dxa"/>
            <w:bottom w:w="0" w:type="dxa"/>
            <w:right w:w="108" w:type="dxa"/>
          </w:tblCellMar>
        </w:tblPrEx>
        <w:trPr>
          <w:trHeight w:val="458" w:hRule="atLeast"/>
        </w:trPr>
        <w:tc>
          <w:tcPr>
            <w:tcW w:w="4626" w:type="dxa"/>
          </w:tcPr>
          <w:p>
            <w:pPr>
              <w:rPr>
                <w:rFonts w:ascii="宋体" w:hAnsi="宋体"/>
                <w:sz w:val="24"/>
              </w:rPr>
            </w:pPr>
            <w:r>
              <w:rPr>
                <w:rFonts w:hint="eastAsia" w:ascii="宋体" w:hAnsi="宋体"/>
                <w:sz w:val="24"/>
              </w:rPr>
              <w:t>开户银行：工商银行凯里市北京路支行</w:t>
            </w:r>
          </w:p>
        </w:tc>
        <w:tc>
          <w:tcPr>
            <w:tcW w:w="4482" w:type="dxa"/>
            <w:vAlign w:val="center"/>
          </w:tcPr>
          <w:p>
            <w:pPr>
              <w:rPr>
                <w:rFonts w:ascii="宋体" w:hAnsi="宋体"/>
                <w:sz w:val="24"/>
              </w:rPr>
            </w:pPr>
            <w:r>
              <w:rPr>
                <w:rFonts w:hint="eastAsia" w:ascii="宋体" w:hAnsi="宋体"/>
                <w:sz w:val="24"/>
              </w:rPr>
              <w:t>开户银行：**</w:t>
            </w:r>
          </w:p>
        </w:tc>
      </w:tr>
      <w:tr>
        <w:tblPrEx>
          <w:tblLayout w:type="fixed"/>
          <w:tblCellMar>
            <w:top w:w="0" w:type="dxa"/>
            <w:left w:w="108" w:type="dxa"/>
            <w:bottom w:w="0" w:type="dxa"/>
            <w:right w:w="108" w:type="dxa"/>
          </w:tblCellMar>
        </w:tblPrEx>
        <w:trPr>
          <w:trHeight w:val="463" w:hRule="atLeast"/>
        </w:trPr>
        <w:tc>
          <w:tcPr>
            <w:tcW w:w="4626" w:type="dxa"/>
            <w:vAlign w:val="center"/>
          </w:tcPr>
          <w:p>
            <w:pPr>
              <w:rPr>
                <w:rFonts w:ascii="宋体" w:hAnsi="宋体"/>
                <w:sz w:val="24"/>
              </w:rPr>
            </w:pPr>
            <w:r>
              <w:rPr>
                <w:rFonts w:hint="eastAsia" w:ascii="宋体" w:hAnsi="宋体"/>
                <w:sz w:val="24"/>
              </w:rPr>
              <w:t>账  号：2407050109024591037</w:t>
            </w:r>
          </w:p>
        </w:tc>
        <w:tc>
          <w:tcPr>
            <w:tcW w:w="4482" w:type="dxa"/>
            <w:vAlign w:val="center"/>
          </w:tcPr>
          <w:p>
            <w:pPr>
              <w:rPr>
                <w:rFonts w:ascii="宋体" w:hAnsi="宋体"/>
                <w:sz w:val="24"/>
              </w:rPr>
            </w:pPr>
            <w:r>
              <w:rPr>
                <w:rFonts w:hint="eastAsia" w:ascii="宋体" w:hAnsi="宋体"/>
                <w:sz w:val="24"/>
              </w:rPr>
              <w:t>账 号：**</w:t>
            </w:r>
          </w:p>
        </w:tc>
      </w:tr>
      <w:tr>
        <w:tblPrEx>
          <w:tblLayout w:type="fixed"/>
          <w:tblCellMar>
            <w:top w:w="0" w:type="dxa"/>
            <w:left w:w="108" w:type="dxa"/>
            <w:bottom w:w="0" w:type="dxa"/>
            <w:right w:w="108" w:type="dxa"/>
          </w:tblCellMar>
        </w:tblPrEx>
        <w:trPr>
          <w:trHeight w:val="468" w:hRule="atLeast"/>
        </w:trPr>
        <w:tc>
          <w:tcPr>
            <w:tcW w:w="4626" w:type="dxa"/>
            <w:vAlign w:val="center"/>
          </w:tcPr>
          <w:p>
            <w:pPr>
              <w:rPr>
                <w:rFonts w:ascii="宋体" w:hAnsi="宋体"/>
                <w:sz w:val="24"/>
              </w:rPr>
            </w:pPr>
            <w:r>
              <w:rPr>
                <w:rFonts w:hint="eastAsia" w:ascii="宋体" w:hAnsi="宋体"/>
                <w:sz w:val="24"/>
              </w:rPr>
              <w:t>统一社会信用代码：</w:t>
            </w:r>
            <w:r>
              <w:rPr>
                <w:rFonts w:ascii="宋体" w:hAnsi="宋体"/>
                <w:sz w:val="24"/>
              </w:rPr>
              <w:t>91522600766088157E</w:t>
            </w:r>
          </w:p>
        </w:tc>
        <w:tc>
          <w:tcPr>
            <w:tcW w:w="4482" w:type="dxa"/>
            <w:vAlign w:val="center"/>
          </w:tcPr>
          <w:p>
            <w:pPr>
              <w:rPr>
                <w:rFonts w:ascii="宋体" w:hAnsi="宋体"/>
                <w:sz w:val="24"/>
              </w:rPr>
            </w:pPr>
            <w:r>
              <w:rPr>
                <w:rFonts w:hint="eastAsia" w:ascii="宋体" w:hAnsi="宋体"/>
                <w:sz w:val="24"/>
              </w:rPr>
              <w:t>统一社会信用代码：**</w:t>
            </w:r>
          </w:p>
        </w:tc>
      </w:tr>
    </w:tbl>
    <w:p>
      <w:pPr>
        <w:spacing w:line="360" w:lineRule="auto"/>
        <w:jc w:val="center"/>
        <w:rPr>
          <w:rFonts w:ascii="宋体" w:hAnsi="宋体"/>
          <w:bCs/>
          <w:sz w:val="24"/>
        </w:rPr>
      </w:pPr>
      <w:r>
        <w:rPr>
          <w:rFonts w:hint="eastAsia" w:ascii="宋体" w:hAnsi="宋体"/>
          <w:bCs/>
          <w:sz w:val="24"/>
        </w:rPr>
        <w:t>合同签订地点：贵州省镇远县青溪镇五里牌</w:t>
      </w:r>
    </w:p>
    <w:p>
      <w:pPr>
        <w:spacing w:line="360" w:lineRule="auto"/>
        <w:jc w:val="center"/>
      </w:pPr>
      <w:r>
        <w:rPr>
          <w:rFonts w:hint="eastAsia" w:ascii="宋体" w:hAnsi="宋体"/>
          <w:b/>
          <w:bCs/>
          <w:sz w:val="24"/>
        </w:rPr>
        <w:t>签订时间：</w:t>
      </w:r>
      <w:r>
        <w:rPr>
          <w:rFonts w:hint="eastAsia" w:ascii="宋体" w:hAnsi="宋体"/>
          <w:sz w:val="24"/>
        </w:rPr>
        <w:t>202</w:t>
      </w:r>
      <w:r>
        <w:rPr>
          <w:rFonts w:hint="eastAsia" w:ascii="宋体" w:hAnsi="宋体"/>
          <w:sz w:val="24"/>
          <w:lang w:val="en-US" w:eastAsia="zh-CN"/>
        </w:rPr>
        <w:t>1</w:t>
      </w:r>
      <w:r>
        <w:rPr>
          <w:rFonts w:hint="eastAsia" w:ascii="宋体" w:hAnsi="宋体"/>
          <w:b/>
          <w:bCs/>
          <w:sz w:val="24"/>
        </w:rPr>
        <w:t>年</w:t>
      </w:r>
      <w:r>
        <w:rPr>
          <w:rFonts w:hint="eastAsia" w:ascii="宋体" w:hAnsi="宋体"/>
          <w:sz w:val="24"/>
        </w:rPr>
        <w:t>**</w:t>
      </w:r>
      <w:r>
        <w:rPr>
          <w:rFonts w:hint="eastAsia" w:ascii="宋体" w:hAnsi="宋体"/>
          <w:b/>
          <w:bCs/>
          <w:sz w:val="24"/>
        </w:rPr>
        <w:t>月</w:t>
      </w:r>
      <w:r>
        <w:rPr>
          <w:rFonts w:hint="eastAsia" w:ascii="宋体" w:hAnsi="宋体"/>
          <w:sz w:val="24"/>
        </w:rPr>
        <w:t>**</w:t>
      </w:r>
      <w:r>
        <w:rPr>
          <w:rFonts w:hint="eastAsia" w:ascii="宋体" w:hAnsi="宋体"/>
          <w:b/>
          <w:bCs/>
          <w:sz w:val="24"/>
        </w:rPr>
        <w:t>日</w:t>
      </w:r>
    </w:p>
    <w:p>
      <w:pPr>
        <w:spacing w:line="240" w:lineRule="atLeast"/>
        <w:rPr>
          <w:rFonts w:ascii="宋体" w:hAnsi="宋体"/>
          <w:color w:val="FF0000"/>
          <w:sz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135" w:right="1800" w:bottom="1135"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99D11B"/>
    <w:multiLevelType w:val="singleLevel"/>
    <w:tmpl w:val="5B99D11B"/>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3B0814"/>
    <w:rsid w:val="00002993"/>
    <w:rsid w:val="0000516D"/>
    <w:rsid w:val="00091442"/>
    <w:rsid w:val="000D1A2F"/>
    <w:rsid w:val="0010186B"/>
    <w:rsid w:val="00117E71"/>
    <w:rsid w:val="001A6660"/>
    <w:rsid w:val="0024097F"/>
    <w:rsid w:val="002533CD"/>
    <w:rsid w:val="002B3F71"/>
    <w:rsid w:val="00351FDE"/>
    <w:rsid w:val="00361248"/>
    <w:rsid w:val="0038654D"/>
    <w:rsid w:val="003B0814"/>
    <w:rsid w:val="003B7908"/>
    <w:rsid w:val="00441CC3"/>
    <w:rsid w:val="0049530A"/>
    <w:rsid w:val="004F7500"/>
    <w:rsid w:val="00514503"/>
    <w:rsid w:val="00570387"/>
    <w:rsid w:val="005C6BB8"/>
    <w:rsid w:val="005F0B10"/>
    <w:rsid w:val="0060272A"/>
    <w:rsid w:val="00663B2B"/>
    <w:rsid w:val="00675CFB"/>
    <w:rsid w:val="00693701"/>
    <w:rsid w:val="006D7755"/>
    <w:rsid w:val="007208A1"/>
    <w:rsid w:val="00786218"/>
    <w:rsid w:val="007E0E40"/>
    <w:rsid w:val="007E628B"/>
    <w:rsid w:val="007F37EE"/>
    <w:rsid w:val="007F4DEE"/>
    <w:rsid w:val="008372E2"/>
    <w:rsid w:val="008655AF"/>
    <w:rsid w:val="00890C07"/>
    <w:rsid w:val="008A2412"/>
    <w:rsid w:val="00932AA3"/>
    <w:rsid w:val="00954B28"/>
    <w:rsid w:val="0098135D"/>
    <w:rsid w:val="009846F6"/>
    <w:rsid w:val="00A26AEC"/>
    <w:rsid w:val="00A45EF9"/>
    <w:rsid w:val="00A92735"/>
    <w:rsid w:val="00B30483"/>
    <w:rsid w:val="00CB070F"/>
    <w:rsid w:val="00CC5F75"/>
    <w:rsid w:val="00DD50AE"/>
    <w:rsid w:val="00E91083"/>
    <w:rsid w:val="00EB4D92"/>
    <w:rsid w:val="00EE6A42"/>
    <w:rsid w:val="00F0742F"/>
    <w:rsid w:val="00F53F31"/>
    <w:rsid w:val="00FD1E0F"/>
    <w:rsid w:val="00FD38E2"/>
    <w:rsid w:val="012639A9"/>
    <w:rsid w:val="014C2FE3"/>
    <w:rsid w:val="02967A24"/>
    <w:rsid w:val="02AD7BB8"/>
    <w:rsid w:val="03110433"/>
    <w:rsid w:val="03937B41"/>
    <w:rsid w:val="03E879AD"/>
    <w:rsid w:val="04151F47"/>
    <w:rsid w:val="04BA5308"/>
    <w:rsid w:val="05785EEE"/>
    <w:rsid w:val="05A00B15"/>
    <w:rsid w:val="05BA6A0F"/>
    <w:rsid w:val="063D6B7C"/>
    <w:rsid w:val="075933D4"/>
    <w:rsid w:val="07AA7AD0"/>
    <w:rsid w:val="07DA08A2"/>
    <w:rsid w:val="07FD5AB9"/>
    <w:rsid w:val="0981659B"/>
    <w:rsid w:val="09C2708A"/>
    <w:rsid w:val="0A176D81"/>
    <w:rsid w:val="0A4F43F1"/>
    <w:rsid w:val="0AD862A3"/>
    <w:rsid w:val="0B196447"/>
    <w:rsid w:val="0C546B5F"/>
    <w:rsid w:val="0C756FC9"/>
    <w:rsid w:val="0DBE4F6A"/>
    <w:rsid w:val="0E29287B"/>
    <w:rsid w:val="0E5D097C"/>
    <w:rsid w:val="0ECF3CD4"/>
    <w:rsid w:val="0F30618A"/>
    <w:rsid w:val="0FE369D3"/>
    <w:rsid w:val="0FE37D9D"/>
    <w:rsid w:val="105A2794"/>
    <w:rsid w:val="108B52F7"/>
    <w:rsid w:val="110058D5"/>
    <w:rsid w:val="11221925"/>
    <w:rsid w:val="11556508"/>
    <w:rsid w:val="11EF2288"/>
    <w:rsid w:val="1233719C"/>
    <w:rsid w:val="126A5580"/>
    <w:rsid w:val="12794E76"/>
    <w:rsid w:val="136D24EB"/>
    <w:rsid w:val="14002073"/>
    <w:rsid w:val="14947E1C"/>
    <w:rsid w:val="14FA04F0"/>
    <w:rsid w:val="151C153E"/>
    <w:rsid w:val="15360DCE"/>
    <w:rsid w:val="1548737E"/>
    <w:rsid w:val="159B65DB"/>
    <w:rsid w:val="16006D5C"/>
    <w:rsid w:val="16A5439D"/>
    <w:rsid w:val="16AF1A51"/>
    <w:rsid w:val="16DC4D2E"/>
    <w:rsid w:val="171B37AC"/>
    <w:rsid w:val="17901567"/>
    <w:rsid w:val="17FC2913"/>
    <w:rsid w:val="18260561"/>
    <w:rsid w:val="184E55CC"/>
    <w:rsid w:val="18584B7F"/>
    <w:rsid w:val="18BA7AE7"/>
    <w:rsid w:val="18C76872"/>
    <w:rsid w:val="191E212B"/>
    <w:rsid w:val="19901C2E"/>
    <w:rsid w:val="19E73E84"/>
    <w:rsid w:val="1A174349"/>
    <w:rsid w:val="1A587EE9"/>
    <w:rsid w:val="1A872806"/>
    <w:rsid w:val="1B4A177D"/>
    <w:rsid w:val="1BD96FF3"/>
    <w:rsid w:val="1C42433A"/>
    <w:rsid w:val="1C8F3479"/>
    <w:rsid w:val="1CA26639"/>
    <w:rsid w:val="1CFF26FD"/>
    <w:rsid w:val="1D624D45"/>
    <w:rsid w:val="1D805DD3"/>
    <w:rsid w:val="1DAD6D59"/>
    <w:rsid w:val="1DB22D6A"/>
    <w:rsid w:val="1DB579A0"/>
    <w:rsid w:val="1DEA2E78"/>
    <w:rsid w:val="1E3E0648"/>
    <w:rsid w:val="1E485E97"/>
    <w:rsid w:val="1E843839"/>
    <w:rsid w:val="1EF12D1B"/>
    <w:rsid w:val="1F520FF4"/>
    <w:rsid w:val="2064218E"/>
    <w:rsid w:val="214756E5"/>
    <w:rsid w:val="21912935"/>
    <w:rsid w:val="219D4BAD"/>
    <w:rsid w:val="21BD480B"/>
    <w:rsid w:val="220D339C"/>
    <w:rsid w:val="222C0C51"/>
    <w:rsid w:val="22D021D2"/>
    <w:rsid w:val="22D16264"/>
    <w:rsid w:val="22E94BA0"/>
    <w:rsid w:val="232F120E"/>
    <w:rsid w:val="23890204"/>
    <w:rsid w:val="23F44A45"/>
    <w:rsid w:val="24214B95"/>
    <w:rsid w:val="243C3E31"/>
    <w:rsid w:val="245B6079"/>
    <w:rsid w:val="246D31F6"/>
    <w:rsid w:val="24E54766"/>
    <w:rsid w:val="25224A7F"/>
    <w:rsid w:val="254E0CF7"/>
    <w:rsid w:val="25661644"/>
    <w:rsid w:val="2582635D"/>
    <w:rsid w:val="25CD59BD"/>
    <w:rsid w:val="25E94DC9"/>
    <w:rsid w:val="25F12C79"/>
    <w:rsid w:val="263C0186"/>
    <w:rsid w:val="26647A3C"/>
    <w:rsid w:val="26FD3840"/>
    <w:rsid w:val="27425AD3"/>
    <w:rsid w:val="2784482F"/>
    <w:rsid w:val="27D958CD"/>
    <w:rsid w:val="27DC1C72"/>
    <w:rsid w:val="27E2745F"/>
    <w:rsid w:val="29360DC9"/>
    <w:rsid w:val="297205A0"/>
    <w:rsid w:val="299E7E9A"/>
    <w:rsid w:val="29B40B4B"/>
    <w:rsid w:val="2A20489D"/>
    <w:rsid w:val="2A65589E"/>
    <w:rsid w:val="2AB665BB"/>
    <w:rsid w:val="2AC64438"/>
    <w:rsid w:val="2B12191C"/>
    <w:rsid w:val="2B435C85"/>
    <w:rsid w:val="2B5C33B8"/>
    <w:rsid w:val="2B897503"/>
    <w:rsid w:val="2BEA2F5F"/>
    <w:rsid w:val="2BEC28C4"/>
    <w:rsid w:val="2C077972"/>
    <w:rsid w:val="2C174308"/>
    <w:rsid w:val="2CF91C86"/>
    <w:rsid w:val="2D427295"/>
    <w:rsid w:val="2DEB6916"/>
    <w:rsid w:val="2E731AFA"/>
    <w:rsid w:val="2EBF1630"/>
    <w:rsid w:val="2ED044E1"/>
    <w:rsid w:val="2EE90F1A"/>
    <w:rsid w:val="2F6C4DCE"/>
    <w:rsid w:val="30400AA1"/>
    <w:rsid w:val="30584207"/>
    <w:rsid w:val="30D939BD"/>
    <w:rsid w:val="313A1044"/>
    <w:rsid w:val="31597E9E"/>
    <w:rsid w:val="316C7412"/>
    <w:rsid w:val="317F5A54"/>
    <w:rsid w:val="31CD3226"/>
    <w:rsid w:val="31D058FF"/>
    <w:rsid w:val="32B8258B"/>
    <w:rsid w:val="32E93404"/>
    <w:rsid w:val="32F91DB4"/>
    <w:rsid w:val="333940F7"/>
    <w:rsid w:val="342203EA"/>
    <w:rsid w:val="34357492"/>
    <w:rsid w:val="344D4BBD"/>
    <w:rsid w:val="34E94D09"/>
    <w:rsid w:val="358A1B43"/>
    <w:rsid w:val="35C44078"/>
    <w:rsid w:val="35D14A0A"/>
    <w:rsid w:val="36DA34BE"/>
    <w:rsid w:val="37204A67"/>
    <w:rsid w:val="376720D8"/>
    <w:rsid w:val="37D7537B"/>
    <w:rsid w:val="37FE17DF"/>
    <w:rsid w:val="38243577"/>
    <w:rsid w:val="38861BA9"/>
    <w:rsid w:val="38AE356B"/>
    <w:rsid w:val="39123A1B"/>
    <w:rsid w:val="39280F61"/>
    <w:rsid w:val="398E2840"/>
    <w:rsid w:val="39B930ED"/>
    <w:rsid w:val="39D94D9C"/>
    <w:rsid w:val="3A31642D"/>
    <w:rsid w:val="3ABA41E9"/>
    <w:rsid w:val="3AC437C4"/>
    <w:rsid w:val="3ADF797F"/>
    <w:rsid w:val="3AF15F88"/>
    <w:rsid w:val="3B034C3E"/>
    <w:rsid w:val="3B4342F8"/>
    <w:rsid w:val="3B5849B6"/>
    <w:rsid w:val="3BC16899"/>
    <w:rsid w:val="3CAC024A"/>
    <w:rsid w:val="3CC677BF"/>
    <w:rsid w:val="3D451A79"/>
    <w:rsid w:val="3DDB388F"/>
    <w:rsid w:val="3DF70391"/>
    <w:rsid w:val="3E0960DA"/>
    <w:rsid w:val="3E501EBE"/>
    <w:rsid w:val="3E707033"/>
    <w:rsid w:val="3E7F3E52"/>
    <w:rsid w:val="3EAC4BEE"/>
    <w:rsid w:val="3F0875EF"/>
    <w:rsid w:val="3F163FC0"/>
    <w:rsid w:val="3F2F7679"/>
    <w:rsid w:val="3F6A23CB"/>
    <w:rsid w:val="40147DD8"/>
    <w:rsid w:val="4081456B"/>
    <w:rsid w:val="4120200E"/>
    <w:rsid w:val="41215AD0"/>
    <w:rsid w:val="414F68F1"/>
    <w:rsid w:val="416728D2"/>
    <w:rsid w:val="417C1121"/>
    <w:rsid w:val="41A6511E"/>
    <w:rsid w:val="422F4664"/>
    <w:rsid w:val="425564E7"/>
    <w:rsid w:val="42D27DF6"/>
    <w:rsid w:val="42F54C26"/>
    <w:rsid w:val="438501B2"/>
    <w:rsid w:val="439C3572"/>
    <w:rsid w:val="445F3F41"/>
    <w:rsid w:val="44A26806"/>
    <w:rsid w:val="44B7012A"/>
    <w:rsid w:val="44B939D8"/>
    <w:rsid w:val="45407B9D"/>
    <w:rsid w:val="456514E1"/>
    <w:rsid w:val="4627194A"/>
    <w:rsid w:val="465420A9"/>
    <w:rsid w:val="4673145E"/>
    <w:rsid w:val="46BC57A2"/>
    <w:rsid w:val="46D60F8F"/>
    <w:rsid w:val="46F00A46"/>
    <w:rsid w:val="478F1586"/>
    <w:rsid w:val="47C42C82"/>
    <w:rsid w:val="481B3B26"/>
    <w:rsid w:val="483B0963"/>
    <w:rsid w:val="48491C53"/>
    <w:rsid w:val="48736BD9"/>
    <w:rsid w:val="494D07B7"/>
    <w:rsid w:val="49FB5CA0"/>
    <w:rsid w:val="4A1979C4"/>
    <w:rsid w:val="4ADE37D0"/>
    <w:rsid w:val="4B233128"/>
    <w:rsid w:val="4B5F360A"/>
    <w:rsid w:val="4C3B6B97"/>
    <w:rsid w:val="4C846B87"/>
    <w:rsid w:val="4C8F1D0B"/>
    <w:rsid w:val="4CC50F61"/>
    <w:rsid w:val="4CFC3CDA"/>
    <w:rsid w:val="4D0F240C"/>
    <w:rsid w:val="4D6A598B"/>
    <w:rsid w:val="4D6D08C8"/>
    <w:rsid w:val="4E366F5F"/>
    <w:rsid w:val="4ED37A76"/>
    <w:rsid w:val="4F1C3AF2"/>
    <w:rsid w:val="4FFD4F03"/>
    <w:rsid w:val="50377212"/>
    <w:rsid w:val="507C44F1"/>
    <w:rsid w:val="507C7232"/>
    <w:rsid w:val="5084423B"/>
    <w:rsid w:val="50AE0306"/>
    <w:rsid w:val="5174293B"/>
    <w:rsid w:val="51B546CE"/>
    <w:rsid w:val="51FA6FB4"/>
    <w:rsid w:val="523C422B"/>
    <w:rsid w:val="5247092F"/>
    <w:rsid w:val="53784961"/>
    <w:rsid w:val="53915035"/>
    <w:rsid w:val="53C318B8"/>
    <w:rsid w:val="548952EF"/>
    <w:rsid w:val="54A84EE1"/>
    <w:rsid w:val="54B21F2C"/>
    <w:rsid w:val="55307009"/>
    <w:rsid w:val="55DF5B0A"/>
    <w:rsid w:val="560D7D6C"/>
    <w:rsid w:val="569121E0"/>
    <w:rsid w:val="57015497"/>
    <w:rsid w:val="57814D7C"/>
    <w:rsid w:val="57871BDA"/>
    <w:rsid w:val="57D30210"/>
    <w:rsid w:val="581F6341"/>
    <w:rsid w:val="5869634C"/>
    <w:rsid w:val="58D64087"/>
    <w:rsid w:val="592E205C"/>
    <w:rsid w:val="5996431E"/>
    <w:rsid w:val="5B701AE8"/>
    <w:rsid w:val="5B9F1CC7"/>
    <w:rsid w:val="5C7F4C52"/>
    <w:rsid w:val="5C8219A2"/>
    <w:rsid w:val="5D787418"/>
    <w:rsid w:val="5DFB68AD"/>
    <w:rsid w:val="5E1051C8"/>
    <w:rsid w:val="5E495A2C"/>
    <w:rsid w:val="5E543006"/>
    <w:rsid w:val="5EA0688F"/>
    <w:rsid w:val="5EB13672"/>
    <w:rsid w:val="5F255130"/>
    <w:rsid w:val="5FC2049D"/>
    <w:rsid w:val="5FE85471"/>
    <w:rsid w:val="60000727"/>
    <w:rsid w:val="60C0183C"/>
    <w:rsid w:val="60D84525"/>
    <w:rsid w:val="615B335E"/>
    <w:rsid w:val="61CB1B76"/>
    <w:rsid w:val="62F75598"/>
    <w:rsid w:val="630F546E"/>
    <w:rsid w:val="631E4879"/>
    <w:rsid w:val="639179BB"/>
    <w:rsid w:val="63C67B2F"/>
    <w:rsid w:val="642B3DD5"/>
    <w:rsid w:val="64E003D4"/>
    <w:rsid w:val="64F866DD"/>
    <w:rsid w:val="6544462A"/>
    <w:rsid w:val="663944C4"/>
    <w:rsid w:val="66DC7DC9"/>
    <w:rsid w:val="675742C0"/>
    <w:rsid w:val="68893A5A"/>
    <w:rsid w:val="688F53C3"/>
    <w:rsid w:val="68A86A19"/>
    <w:rsid w:val="68DF6E8B"/>
    <w:rsid w:val="69301684"/>
    <w:rsid w:val="69384648"/>
    <w:rsid w:val="69620B98"/>
    <w:rsid w:val="69AA0D36"/>
    <w:rsid w:val="69AF48DF"/>
    <w:rsid w:val="6A77698C"/>
    <w:rsid w:val="6A7F21C6"/>
    <w:rsid w:val="6A887C54"/>
    <w:rsid w:val="6A925C90"/>
    <w:rsid w:val="6AAC129D"/>
    <w:rsid w:val="6AE706B0"/>
    <w:rsid w:val="6B320EB0"/>
    <w:rsid w:val="6B3D4BD8"/>
    <w:rsid w:val="6B597A0F"/>
    <w:rsid w:val="6B8335BE"/>
    <w:rsid w:val="6BED388F"/>
    <w:rsid w:val="6C2B327C"/>
    <w:rsid w:val="6CA02BC4"/>
    <w:rsid w:val="6CA50E8B"/>
    <w:rsid w:val="6CC146D3"/>
    <w:rsid w:val="6D1066FB"/>
    <w:rsid w:val="6D1B4581"/>
    <w:rsid w:val="6DA14985"/>
    <w:rsid w:val="6DF84A47"/>
    <w:rsid w:val="6E217357"/>
    <w:rsid w:val="6E30772E"/>
    <w:rsid w:val="6E8E5A27"/>
    <w:rsid w:val="6EA46289"/>
    <w:rsid w:val="6ECE6F05"/>
    <w:rsid w:val="6EF747E4"/>
    <w:rsid w:val="6F7A5CBB"/>
    <w:rsid w:val="6F852CAC"/>
    <w:rsid w:val="6F8818EA"/>
    <w:rsid w:val="6F8E3DDB"/>
    <w:rsid w:val="70157E25"/>
    <w:rsid w:val="705A51E1"/>
    <w:rsid w:val="70971319"/>
    <w:rsid w:val="709A62A0"/>
    <w:rsid w:val="70F3272F"/>
    <w:rsid w:val="710C2D50"/>
    <w:rsid w:val="711257D0"/>
    <w:rsid w:val="71AE40C6"/>
    <w:rsid w:val="71D70010"/>
    <w:rsid w:val="721F3E72"/>
    <w:rsid w:val="72F601EE"/>
    <w:rsid w:val="73AB015D"/>
    <w:rsid w:val="73CE5248"/>
    <w:rsid w:val="74ED01B9"/>
    <w:rsid w:val="765905A3"/>
    <w:rsid w:val="766D0812"/>
    <w:rsid w:val="77285C8F"/>
    <w:rsid w:val="779362E1"/>
    <w:rsid w:val="786D1F36"/>
    <w:rsid w:val="78A9759F"/>
    <w:rsid w:val="78AB6510"/>
    <w:rsid w:val="795B4F2D"/>
    <w:rsid w:val="79890836"/>
    <w:rsid w:val="79B95177"/>
    <w:rsid w:val="79D36400"/>
    <w:rsid w:val="7A5C099E"/>
    <w:rsid w:val="7A6B4E9D"/>
    <w:rsid w:val="7AB24398"/>
    <w:rsid w:val="7ADB2E7D"/>
    <w:rsid w:val="7AE048C8"/>
    <w:rsid w:val="7AEA6B68"/>
    <w:rsid w:val="7AF20C43"/>
    <w:rsid w:val="7B0C07A5"/>
    <w:rsid w:val="7B9331FF"/>
    <w:rsid w:val="7BA23C88"/>
    <w:rsid w:val="7BCD6675"/>
    <w:rsid w:val="7BCD6DB8"/>
    <w:rsid w:val="7BD33C76"/>
    <w:rsid w:val="7CF17D68"/>
    <w:rsid w:val="7D19517D"/>
    <w:rsid w:val="7D47326B"/>
    <w:rsid w:val="7E0942A2"/>
    <w:rsid w:val="7E293003"/>
    <w:rsid w:val="7E3911A2"/>
    <w:rsid w:val="7E482983"/>
    <w:rsid w:val="7E6A0329"/>
    <w:rsid w:val="7E7D61A0"/>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szCs w:val="21"/>
    </w:rPr>
  </w:style>
  <w:style w:type="paragraph" w:styleId="3">
    <w:name w:val="Balloon Text"/>
    <w:basedOn w:val="1"/>
    <w:link w:val="13"/>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unhideWhenUsed/>
    <w:qFormat/>
    <w:uiPriority w:val="99"/>
  </w:style>
  <w:style w:type="character" w:styleId="8">
    <w:name w:val="Emphasis"/>
    <w:basedOn w:val="6"/>
    <w:qFormat/>
    <w:uiPriority w:val="20"/>
    <w:rPr>
      <w:i/>
    </w:rPr>
  </w:style>
  <w:style w:type="character" w:styleId="9">
    <w:name w:val="Hyperlink"/>
    <w:basedOn w:val="6"/>
    <w:qFormat/>
    <w:uiPriority w:val="99"/>
    <w:rPr>
      <w:rFonts w:cs="Times New Roman"/>
      <w:color w:val="0563C1"/>
      <w:u w:val="single"/>
    </w:rPr>
  </w:style>
  <w:style w:type="character" w:customStyle="1" w:styleId="11">
    <w:name w:val="页眉 Char"/>
    <w:basedOn w:val="6"/>
    <w:link w:val="5"/>
    <w:semiHidden/>
    <w:qFormat/>
    <w:uiPriority w:val="99"/>
    <w:rPr>
      <w:sz w:val="18"/>
      <w:szCs w:val="18"/>
    </w:rPr>
  </w:style>
  <w:style w:type="character" w:customStyle="1" w:styleId="12">
    <w:name w:val="页脚 Char"/>
    <w:basedOn w:val="6"/>
    <w:link w:val="4"/>
    <w:semiHidden/>
    <w:qFormat/>
    <w:uiPriority w:val="99"/>
    <w:rPr>
      <w:sz w:val="18"/>
      <w:szCs w:val="18"/>
    </w:rPr>
  </w:style>
  <w:style w:type="character" w:customStyle="1" w:styleId="13">
    <w:name w:val="批注框文本 Char"/>
    <w:basedOn w:val="6"/>
    <w:link w:val="3"/>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12</Pages>
  <Words>1259</Words>
  <Characters>7178</Characters>
  <Lines>59</Lines>
  <Paragraphs>16</Paragraphs>
  <ScaleCrop>false</ScaleCrop>
  <LinksUpToDate>false</LinksUpToDate>
  <CharactersWithSpaces>8421</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2018-08-21T07:17:00Z</dcterms:created>
  <dc:creator>高鹏宇</dc:creator>
  <cp:lastModifiedBy>NTKO</cp:lastModifiedBy>
  <cp:lastPrinted>2020-07-04T07:20:00Z</cp:lastPrinted>
  <dcterms:modified xsi:type="dcterms:W3CDTF">2021-04-23T07:20:35Z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