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按照公平、公正、公开的原则，拟对我公司2020年</w:t>
      </w:r>
      <w:r>
        <w:rPr>
          <w:rFonts w:hint="eastAsia" w:ascii="宋体" w:hAnsi="宋体"/>
          <w:sz w:val="24"/>
          <w:lang w:val="en-US" w:eastAsia="zh-CN"/>
        </w:rPr>
        <w:t>11</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lang w:val="en-US" w:eastAsia="zh-CN"/>
        </w:rPr>
        <w:t>5</w:t>
      </w:r>
      <w:r>
        <w:rPr>
          <w:rFonts w:hint="eastAsia" w:ascii="宋体" w:hAnsi="宋体"/>
          <w:sz w:val="24"/>
          <w:szCs w:val="24"/>
        </w:rPr>
        <w:t>日至2020年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0</w:t>
      </w:r>
      <w:r>
        <w:rPr>
          <w:rFonts w:hint="eastAsia" w:ascii="宋体" w:hAnsi="宋体"/>
          <w:sz w:val="24"/>
          <w:szCs w:val="24"/>
        </w:rPr>
        <w:t>日所需电煤竞价采购，公开竞价，报价时</w:t>
      </w:r>
      <w:bookmarkStart w:id="0" w:name="_GoBack"/>
      <w:bookmarkEnd w:id="0"/>
      <w:r>
        <w:rPr>
          <w:rFonts w:hint="eastAsia" w:ascii="宋体" w:hAnsi="宋体"/>
          <w:sz w:val="24"/>
          <w:szCs w:val="24"/>
        </w:rPr>
        <w:t>间为2020年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szCs w:val="24"/>
          <w:lang w:val="en-US" w:eastAsia="zh-CN"/>
        </w:rPr>
        <w:t>10</w:t>
      </w:r>
      <w:r>
        <w:rPr>
          <w:rFonts w:hint="eastAsia" w:ascii="宋体" w:hAnsi="宋体"/>
          <w:sz w:val="24"/>
          <w:szCs w:val="24"/>
        </w:rPr>
        <w:t>日</w:t>
      </w:r>
      <w:r>
        <w:rPr>
          <w:rFonts w:hint="eastAsia" w:ascii="宋体" w:hAnsi="宋体"/>
          <w:sz w:val="24"/>
          <w:szCs w:val="24"/>
          <w:lang w:val="en-US" w:eastAsia="zh-CN"/>
        </w:rPr>
        <w:t>16</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0至2020年</w:t>
      </w:r>
      <w:r>
        <w:rPr>
          <w:rFonts w:hint="eastAsia" w:ascii="宋体" w:hAnsi="宋体"/>
          <w:sz w:val="24"/>
          <w:lang w:val="en-US" w:eastAsia="zh-CN"/>
        </w:rPr>
        <w:t>11</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lang w:val="en-US" w:eastAsia="zh-CN"/>
        </w:rPr>
        <w:t>2</w:t>
      </w:r>
      <w:r>
        <w:rPr>
          <w:rFonts w:hint="eastAsia" w:ascii="宋体" w:hAnsi="宋体"/>
          <w:sz w:val="24"/>
          <w:szCs w:val="24"/>
        </w:rPr>
        <w:t>日1</w:t>
      </w:r>
      <w:r>
        <w:rPr>
          <w:rFonts w:hint="eastAsia" w:ascii="宋体" w:hAnsi="宋体"/>
          <w:sz w:val="24"/>
          <w:szCs w:val="24"/>
          <w:lang w:val="en-US" w:eastAsia="zh-CN"/>
        </w:rPr>
        <w:t>8</w:t>
      </w:r>
      <w:r>
        <w:rPr>
          <w:rFonts w:hint="eastAsia" w:ascii="宋体" w:hAnsi="宋体"/>
          <w:sz w:val="24"/>
          <w:szCs w:val="24"/>
        </w:rPr>
        <w:t>：00。</w:t>
      </w:r>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4、竞价方需遵守竞价规则，按要求提供运营</w:t>
      </w:r>
      <w:r>
        <w:rPr>
          <w:rFonts w:hint="eastAsia" w:ascii="宋体" w:hAnsi="宋体"/>
          <w:sz w:val="24"/>
          <w:szCs w:val="24"/>
          <w:lang w:eastAsia="zh-CN"/>
        </w:rPr>
        <w:t>资质</w:t>
      </w:r>
      <w:r>
        <w:rPr>
          <w:rFonts w:hint="eastAsia" w:ascii="宋体" w:hAnsi="宋体"/>
          <w:sz w:val="24"/>
          <w:szCs w:val="24"/>
        </w:rPr>
        <w:t>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hint="eastAsia" w:ascii="宋体" w:hAnsi="宋体" w:cs="宋体" w:eastAsiaTheme="minorEastAsia"/>
                <w:sz w:val="24"/>
                <w:lang w:eastAsia="zh-CN"/>
              </w:rPr>
            </w:pPr>
            <w:r>
              <w:rPr>
                <w:rFonts w:hint="eastAsia" w:ascii="宋体" w:hAnsi="宋体" w:cs="宋体"/>
                <w:kern w:val="0"/>
                <w:sz w:val="24"/>
                <w:lang w:eastAsia="zh-CN"/>
              </w:rPr>
              <w:t>大卡</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w:t>
            </w:r>
            <w:r>
              <w:rPr>
                <w:rFonts w:hint="eastAsia" w:ascii="宋体" w:hAnsi="宋体" w:cs="宋体"/>
                <w:kern w:val="0"/>
                <w:sz w:val="24"/>
                <w:lang w:eastAsia="zh-CN"/>
              </w:rPr>
              <w:t>大卡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FF0000"/>
          <w:sz w:val="24"/>
          <w:szCs w:val="24"/>
          <w:lang w:eastAsia="zh-CN"/>
        </w:rPr>
        <w:t>（备注：由于我公司合同条款中除了煤质考核外，还有煤质偏差考核，所以报价时请考虑煤质</w:t>
      </w:r>
      <w:r>
        <w:rPr>
          <w:rFonts w:hint="eastAsia" w:ascii="宋体" w:hAnsi="宋体"/>
          <w:color w:val="FF0000"/>
          <w:sz w:val="24"/>
          <w:szCs w:val="24"/>
        </w:rPr>
        <w:t>偏差</w:t>
      </w:r>
      <w:r>
        <w:rPr>
          <w:rFonts w:hint="eastAsia" w:ascii="宋体" w:hAnsi="宋体"/>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w:t>
      </w:r>
      <w:r>
        <w:rPr>
          <w:rFonts w:hint="eastAsia" w:ascii="宋体" w:hAnsi="宋体"/>
          <w:color w:val="FF0000"/>
          <w:sz w:val="24"/>
          <w:szCs w:val="24"/>
        </w:rPr>
        <w:t>营业执照</w:t>
      </w:r>
      <w:r>
        <w:rPr>
          <w:rFonts w:hint="eastAsia" w:ascii="宋体" w:hAnsi="宋体"/>
          <w:color w:val="FF0000"/>
          <w:sz w:val="24"/>
          <w:szCs w:val="24"/>
          <w:lang w:eastAsia="zh-CN"/>
        </w:rPr>
        <w:t>副本</w:t>
      </w:r>
      <w:r>
        <w:rPr>
          <w:rFonts w:hint="eastAsia" w:ascii="宋体" w:hAnsi="宋体"/>
          <w:color w:val="FF0000"/>
          <w:sz w:val="24"/>
          <w:szCs w:val="24"/>
        </w:rPr>
        <w:t>、开户许可证</w:t>
      </w:r>
      <w:r>
        <w:rPr>
          <w:rFonts w:hint="eastAsia" w:ascii="宋体" w:hAnsi="宋体"/>
          <w:color w:val="FF0000"/>
          <w:sz w:val="24"/>
          <w:szCs w:val="24"/>
          <w:lang w:eastAsia="zh-CN"/>
        </w:rPr>
        <w:t>或基本存款账户信息</w:t>
      </w:r>
      <w:r>
        <w:rPr>
          <w:rFonts w:hint="eastAsia" w:ascii="宋体" w:hAnsi="宋体"/>
          <w:color w:val="FF0000"/>
          <w:sz w:val="24"/>
          <w:szCs w:val="24"/>
        </w:rPr>
        <w:t>、法人身份证</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b/>
          <w:sz w:val="28"/>
          <w:szCs w:val="28"/>
        </w:rPr>
      </w:pPr>
      <w:r>
        <w:rPr>
          <w:rFonts w:hint="eastAsia" w:ascii="宋体" w:hAnsi="宋体"/>
          <w:sz w:val="24"/>
        </w:rPr>
        <w:t>2020年</w:t>
      </w:r>
      <w:r>
        <w:rPr>
          <w:rFonts w:hint="eastAsia" w:ascii="宋体" w:hAnsi="宋体"/>
          <w:sz w:val="24"/>
          <w:lang w:val="en-US" w:eastAsia="zh-CN"/>
        </w:rPr>
        <w:t>11</w:t>
      </w:r>
      <w:r>
        <w:rPr>
          <w:rFonts w:hint="eastAsia" w:ascii="宋体" w:hAnsi="宋体"/>
          <w:sz w:val="24"/>
        </w:rPr>
        <w:t>月</w:t>
      </w:r>
      <w:r>
        <w:rPr>
          <w:rFonts w:hint="eastAsia" w:ascii="宋体" w:hAnsi="宋体"/>
          <w:sz w:val="24"/>
          <w:lang w:val="en-US" w:eastAsia="zh-CN"/>
        </w:rPr>
        <w:t>10</w:t>
      </w:r>
      <w:r>
        <w:rPr>
          <w:rFonts w:hint="eastAsia" w:ascii="宋体" w:hAnsi="宋体"/>
          <w:sz w:val="24"/>
        </w:rPr>
        <w:t>日</w:t>
      </w:r>
    </w:p>
    <w:p>
      <w:pPr>
        <w:spacing w:line="240" w:lineRule="atLeast"/>
        <w:jc w:val="center"/>
        <w:rPr>
          <w:rFonts w:hint="eastAsia" w:ascii="宋体" w:hAnsi="宋体"/>
          <w:b/>
          <w:sz w:val="28"/>
          <w:szCs w:val="28"/>
        </w:rPr>
      </w:pPr>
    </w:p>
    <w:p>
      <w:pPr>
        <w:spacing w:line="240" w:lineRule="atLeast"/>
        <w:jc w:val="center"/>
        <w:rPr>
          <w:rFonts w:ascii="宋体" w:hAnsi="宋体"/>
          <w:b/>
          <w:sz w:val="28"/>
          <w:szCs w:val="28"/>
        </w:rPr>
      </w:pPr>
      <w:r>
        <w:rPr>
          <w:rFonts w:hint="eastAsia" w:ascii="宋体" w:hAnsi="宋体"/>
          <w:b/>
          <w:sz w:val="28"/>
          <w:szCs w:val="28"/>
        </w:rPr>
        <w:t>***公司报价函：</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jc w:val="both"/>
        <w:textAlignment w:val="auto"/>
        <w:outlineLvl w:val="9"/>
        <w:rPr>
          <w:rFonts w:ascii="宋体" w:hAnsi="宋体"/>
          <w:sz w:val="24"/>
          <w:szCs w:val="24"/>
        </w:rPr>
      </w:pPr>
      <w:r>
        <w:rPr>
          <w:rFonts w:hint="eastAsia" w:ascii="宋体" w:hAnsi="宋体"/>
          <w:sz w:val="24"/>
          <w:szCs w:val="24"/>
        </w:rPr>
        <w:t>贵州黔东电力有限公司：</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jc w:val="both"/>
        <w:textAlignment w:val="auto"/>
        <w:outlineLvl w:val="9"/>
        <w:rPr>
          <w:rFonts w:hint="eastAsia" w:ascii="宋体" w:hAnsi="宋体"/>
          <w:sz w:val="24"/>
          <w:lang w:val="en-US" w:eastAsia="zh-CN"/>
        </w:rPr>
      </w:pPr>
      <w:r>
        <w:rPr>
          <w:rFonts w:hint="eastAsia" w:ascii="宋体" w:hAnsi="宋体"/>
          <w:sz w:val="24"/>
          <w:szCs w:val="24"/>
        </w:rPr>
        <w:t>我公司认真阅读了贵公司电煤竞价采购公告，针对贵公司2020年</w:t>
      </w:r>
      <w:r>
        <w:rPr>
          <w:rFonts w:hint="eastAsia" w:ascii="宋体" w:hAnsi="宋体"/>
          <w:sz w:val="24"/>
          <w:lang w:val="en-US" w:eastAsia="zh-CN"/>
        </w:rPr>
        <w:t>11</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lang w:val="en-US" w:eastAsia="zh-CN"/>
        </w:rPr>
        <w:t>5</w:t>
      </w:r>
      <w:r>
        <w:rPr>
          <w:rFonts w:hint="eastAsia" w:ascii="宋体" w:hAnsi="宋体"/>
          <w:sz w:val="24"/>
          <w:szCs w:val="24"/>
        </w:rPr>
        <w:t>日至2020年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0</w:t>
      </w:r>
      <w:r>
        <w:rPr>
          <w:rFonts w:hint="eastAsia" w:ascii="宋体" w:hAnsi="宋体"/>
          <w:sz w:val="24"/>
          <w:szCs w:val="24"/>
        </w:rPr>
        <w:t>日竞价采购，我公司经过研究，正式报价如下：</w:t>
      </w:r>
    </w:p>
    <w:p>
      <w:pPr>
        <w:spacing w:line="240" w:lineRule="atLeast"/>
        <w:rPr>
          <w:rFonts w:ascii="宋体" w:hAnsi="宋体"/>
          <w:sz w:val="24"/>
        </w:rPr>
      </w:pPr>
      <w:r>
        <w:rPr>
          <w:rFonts w:hint="eastAsia" w:ascii="宋体" w:hAnsi="宋体"/>
          <w:b/>
          <w:bCs/>
          <w:sz w:val="24"/>
        </w:rPr>
        <w:t>煤种</w:t>
      </w:r>
      <w:r>
        <w:rPr>
          <w:rFonts w:hint="eastAsia" w:ascii="宋体" w:hAnsi="宋体"/>
          <w:b/>
          <w:bCs/>
          <w:sz w:val="24"/>
          <w:lang w:val="en-US" w:eastAsia="zh-CN"/>
        </w:rPr>
        <w:t>1</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3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2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1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0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干燥无灰基挥发分Vdaf（%）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4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5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2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7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keepNext w:val="0"/>
        <w:keepLines w:val="0"/>
        <w:pageBreakBefore w:val="0"/>
        <w:kinsoku/>
        <w:wordWrap/>
        <w:overflowPunct/>
        <w:topLinePunct w:val="0"/>
        <w:autoSpaceDE/>
        <w:autoSpaceDN/>
        <w:bidi w:val="0"/>
        <w:adjustRightInd/>
        <w:snapToGrid/>
        <w:spacing w:line="240" w:lineRule="atLeast"/>
        <w:ind w:right="0" w:rightChars="0"/>
        <w:outlineLvl w:val="9"/>
        <w:rPr>
          <w:rFonts w:hint="eastAsia" w:ascii="宋体" w:hAnsi="宋体"/>
          <w:sz w:val="24"/>
          <w:highlight w:val="none"/>
          <w:lang w:val="en-US" w:eastAsia="zh-CN"/>
        </w:rPr>
      </w:pPr>
      <w:r>
        <w:rPr>
          <w:rFonts w:hint="eastAsia" w:ascii="宋体" w:hAnsi="宋体"/>
          <w:b/>
          <w:bCs/>
          <w:sz w:val="24"/>
          <w:highlight w:val="none"/>
          <w:lang w:eastAsia="zh-CN"/>
        </w:rPr>
        <w:t>煤种</w:t>
      </w:r>
      <w:r>
        <w:rPr>
          <w:rFonts w:hint="eastAsia" w:ascii="宋体" w:hAnsi="宋体"/>
          <w:b/>
          <w:bCs/>
          <w:sz w:val="24"/>
          <w:highlight w:val="none"/>
          <w:lang w:val="en-US" w:eastAsia="zh-CN"/>
        </w:rPr>
        <w:t>2</w:t>
      </w:r>
      <w:r>
        <w:rPr>
          <w:rFonts w:hint="eastAsia" w:ascii="宋体" w:hAnsi="宋体"/>
          <w:sz w:val="24"/>
        </w:rPr>
        <w:t>（普硫烟</w:t>
      </w:r>
      <w:r>
        <w:rPr>
          <w:rFonts w:hint="eastAsia" w:ascii="宋体" w:hAnsi="宋体"/>
          <w:sz w:val="24"/>
          <w:lang w:eastAsia="zh-CN"/>
        </w:rPr>
        <w:t>煤</w:t>
      </w:r>
      <w:r>
        <w:rPr>
          <w:rFonts w:hint="eastAsia" w:ascii="宋体" w:hAnsi="宋体"/>
          <w:sz w:val="24"/>
        </w:rPr>
        <w:t>）</w:t>
      </w:r>
      <w:r>
        <w:rPr>
          <w:rFonts w:hint="eastAsia" w:ascii="宋体" w:hAnsi="宋体"/>
          <w:sz w:val="24"/>
          <w:highlight w:val="none"/>
          <w:lang w:val="en-US" w:eastAsia="zh-CN"/>
        </w:rPr>
        <w:t>：</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6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kern w:val="0"/>
                <w:sz w:val="22"/>
                <w:highlight w:val="none"/>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备注</w:t>
            </w:r>
          </w:p>
        </w:tc>
      </w:tr>
      <w:tr>
        <w:tblPrEx>
          <w:tblLayout w:type="fixed"/>
          <w:tblCellMar>
            <w:top w:w="0" w:type="dxa"/>
            <w:left w:w="108" w:type="dxa"/>
            <w:bottom w:w="0" w:type="dxa"/>
            <w:right w:w="108" w:type="dxa"/>
          </w:tblCellMar>
        </w:tblPrEx>
        <w:trPr>
          <w:trHeight w:val="340"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r>
        <w:tblPrEx>
          <w:tblLayout w:type="fixed"/>
          <w:tblCellMar>
            <w:top w:w="0" w:type="dxa"/>
            <w:left w:w="108" w:type="dxa"/>
            <w:bottom w:w="0" w:type="dxa"/>
            <w:right w:w="108" w:type="dxa"/>
          </w:tblCellMar>
        </w:tblPrEx>
        <w:trPr>
          <w:trHeight w:val="290"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both"/>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lang w:val="en-US" w:eastAsia="zh-CN"/>
              </w:rPr>
              <w:t xml:space="preserve"> </w:t>
            </w:r>
            <w:r>
              <w:rPr>
                <w:rFonts w:hint="eastAsia" w:ascii="宋体" w:hAnsi="宋体" w:cs="宋体"/>
                <w:color w:val="000000"/>
                <w:kern w:val="0"/>
                <w:sz w:val="18"/>
                <w:szCs w:val="18"/>
                <w:highlight w:val="none"/>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hint="eastAsia" w:ascii="宋体" w:hAnsi="Calibri" w:eastAsia="宋体" w:cs="宋体"/>
                <w:color w:val="000000"/>
                <w:sz w:val="20"/>
                <w:szCs w:val="20"/>
                <w:highlight w:val="none"/>
                <w:lang w:val="en-US" w:eastAsia="zh-CN"/>
              </w:rPr>
            </w:pPr>
          </w:p>
        </w:tc>
      </w:tr>
      <w:tr>
        <w:tblPrEx>
          <w:tblLayout w:type="fixed"/>
          <w:tblCellMar>
            <w:top w:w="0" w:type="dxa"/>
            <w:left w:w="108" w:type="dxa"/>
            <w:bottom w:w="0" w:type="dxa"/>
            <w:right w:w="108" w:type="dxa"/>
          </w:tblCellMar>
        </w:tblPrEx>
        <w:trPr>
          <w:trHeight w:val="786"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both"/>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lang w:val="en-US" w:eastAsia="zh-CN"/>
              </w:rPr>
              <w:t xml:space="preserve"> </w:t>
            </w:r>
            <w:r>
              <w:rPr>
                <w:rFonts w:hint="eastAsia" w:ascii="宋体" w:hAnsi="宋体" w:cs="宋体"/>
                <w:color w:val="000000"/>
                <w:kern w:val="0"/>
                <w:sz w:val="18"/>
                <w:szCs w:val="18"/>
                <w:highlight w:val="none"/>
              </w:rPr>
              <w:t>干燥无灰基挥发分Vdaf（%）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hint="eastAsia" w:ascii="宋体" w:hAnsi="Calibri" w:cs="宋体"/>
                <w:b/>
                <w:bCs/>
                <w:color w:val="000000"/>
                <w:sz w:val="18"/>
                <w:szCs w:val="18"/>
                <w:highlight w:val="none"/>
                <w:lang w:val="en-US" w:eastAsia="zh-CN"/>
              </w:rPr>
            </w:pPr>
            <w:r>
              <w:rPr>
                <w:rFonts w:hint="eastAsia" w:ascii="宋体" w:hAnsi="Calibri" w:cs="宋体"/>
                <w:b/>
                <w:bCs/>
                <w:color w:val="000000"/>
                <w:sz w:val="18"/>
                <w:szCs w:val="18"/>
                <w:highlight w:val="none"/>
                <w:lang w:val="en-US" w:eastAsia="zh-CN"/>
              </w:rPr>
              <w:t>Vdaf≥20%</w:t>
            </w:r>
          </w:p>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FF0000"/>
                <w:sz w:val="18"/>
                <w:szCs w:val="18"/>
                <w:highlight w:val="none"/>
                <w:lang w:val="en-US" w:eastAsia="zh-CN"/>
              </w:rPr>
              <w:t>（当加权Vdaf＜20%%时，单价下浮至当月普硫煤最低价格）</w:t>
            </w:r>
          </w:p>
        </w:tc>
      </w:tr>
      <w:tr>
        <w:tblPrEx>
          <w:tblLayout w:type="fixed"/>
          <w:tblCellMar>
            <w:top w:w="0" w:type="dxa"/>
            <w:left w:w="108" w:type="dxa"/>
            <w:bottom w:w="0" w:type="dxa"/>
            <w:right w:w="108" w:type="dxa"/>
          </w:tblCellMar>
        </w:tblPrEx>
        <w:trPr>
          <w:trHeight w:val="350"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bCs/>
                <w:color w:val="000000"/>
                <w:sz w:val="22"/>
                <w:highlight w:val="none"/>
              </w:rPr>
            </w:pPr>
            <w:r>
              <w:rPr>
                <w:rFonts w:hint="eastAsia" w:ascii="宋体" w:cs="宋体"/>
                <w:bCs/>
                <w:color w:val="000000"/>
                <w:sz w:val="22"/>
                <w:highlight w:val="none"/>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000000"/>
                <w:sz w:val="20"/>
                <w:szCs w:val="20"/>
                <w:highlight w:val="none"/>
              </w:rPr>
              <w:t>**票结算</w:t>
            </w:r>
          </w:p>
        </w:tc>
      </w:tr>
      <w:tr>
        <w:tblPrEx>
          <w:tblLayout w:type="fixed"/>
          <w:tblCellMar>
            <w:top w:w="0" w:type="dxa"/>
            <w:left w:w="108" w:type="dxa"/>
            <w:bottom w:w="0" w:type="dxa"/>
            <w:right w:w="108" w:type="dxa"/>
          </w:tblCellMar>
        </w:tblPrEx>
        <w:trPr>
          <w:trHeight w:val="35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2"/>
                <w:highlight w:val="none"/>
              </w:rPr>
            </w:pPr>
            <w:r>
              <w:rPr>
                <w:rFonts w:hint="eastAsia" w:ascii="宋体" w:cs="宋体"/>
                <w:color w:val="000000"/>
                <w:sz w:val="22"/>
                <w:highlight w:val="none"/>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000000"/>
                <w:sz w:val="20"/>
                <w:szCs w:val="20"/>
                <w:highlight w:val="none"/>
                <w:lang w:val="en-US" w:eastAsia="zh-CN"/>
              </w:rPr>
              <w:t>±10%</w:t>
            </w:r>
          </w:p>
        </w:tc>
      </w:tr>
      <w:tr>
        <w:tblPrEx>
          <w:tblLayout w:type="fixed"/>
          <w:tblCellMar>
            <w:top w:w="0" w:type="dxa"/>
            <w:left w:w="108" w:type="dxa"/>
            <w:bottom w:w="0" w:type="dxa"/>
            <w:right w:w="108" w:type="dxa"/>
          </w:tblCellMar>
        </w:tblPrEx>
        <w:trPr>
          <w:trHeight w:val="33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cs="宋体"/>
                <w:color w:val="000000"/>
                <w:sz w:val="22"/>
                <w:highlight w:val="none"/>
              </w:rPr>
            </w:pPr>
            <w:r>
              <w:rPr>
                <w:rFonts w:hint="eastAsia" w:ascii="宋体" w:cs="宋体"/>
                <w:color w:val="000000"/>
                <w:sz w:val="22"/>
                <w:highlight w:val="none"/>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r>
        <w:tblPrEx>
          <w:tblLayout w:type="fixed"/>
          <w:tblCellMar>
            <w:top w:w="0" w:type="dxa"/>
            <w:left w:w="108" w:type="dxa"/>
            <w:bottom w:w="0" w:type="dxa"/>
            <w:right w:w="108" w:type="dxa"/>
          </w:tblCellMar>
        </w:tblPrEx>
        <w:trPr>
          <w:trHeight w:val="29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2"/>
                <w:highlight w:val="none"/>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bl>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jc w:val="left"/>
        <w:textAlignment w:val="auto"/>
        <w:outlineLvl w:val="9"/>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keepNext w:val="0"/>
        <w:keepLines w:val="0"/>
        <w:pageBreakBefore w:val="0"/>
        <w:widowControl w:val="0"/>
        <w:numPr>
          <w:ilvl w:val="0"/>
          <w:numId w:val="1"/>
        </w:numPr>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（如：热值5500大卡；含硫3.5%；挥发份10%）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买方允许数量偏差为±10%，质量偏差为：热值-300大卡，含硫+0.5%，挥发份-2%，超出允许偏差考核；</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3、煤炭价格请在备注栏中明确一票结算或两票结算；</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textAlignment w:val="auto"/>
        <w:outlineLvl w:val="9"/>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textAlignment w:val="auto"/>
        <w:outlineLvl w:val="9"/>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2" w:firstLineChars="200"/>
        <w:textAlignment w:val="auto"/>
        <w:outlineLvl w:val="9"/>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实际到厂加权热值、加权含硫、加权挥发份、供应量与上述报价内容偏差不超过贵公司合同约定，如超过则按贵公司合同约定考核。</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法定代表人（或委托代理人）：（签字）</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2020年XX月XX日</w:t>
      </w: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-RL012020****</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-RL012020****</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Calibri" w:cs="宋体"/>
                <w:color w:val="000000"/>
                <w:sz w:val="20"/>
                <w:szCs w:val="20"/>
                <w:highlight w:val="none"/>
                <w:lang w:val="en-US" w:eastAsia="zh-CN"/>
              </w:rPr>
              <w:t>±</w:t>
            </w: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Calibri" w:cs="宋体"/>
          <w:color w:val="000000"/>
          <w:sz w:val="20"/>
          <w:szCs w:val="20"/>
          <w:highlight w:val="none"/>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4、合同计划供应量是基于买方当月电量计划进行确定，如果当月实际电量减少或增加，买方可减少或增加卖方的合同计划供应量。</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w:t>
      </w:r>
      <w:r>
        <w:rPr>
          <w:rFonts w:hint="eastAsia" w:ascii="宋体" w:hAnsi="宋体"/>
          <w:b/>
          <w:bCs w:val="0"/>
          <w:color w:val="FF0000"/>
          <w:sz w:val="24"/>
          <w:highlight w:val="none"/>
          <w:lang w:val="zh-CN"/>
        </w:rPr>
        <w:t>卖方超合同量10%发运的需提前向买方提出书面申请并得到许可，在没有买方书面许可情况下超发运的将不予接卸，产生的一切后果由卖方自行承担。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十、运煤时间</w:t>
      </w:r>
    </w:p>
    <w:p>
      <w:pPr>
        <w:spacing w:line="360" w:lineRule="auto"/>
        <w:ind w:firstLine="480" w:firstLineChars="200"/>
        <w:rPr>
          <w:rFonts w:ascii="宋体" w:hAnsi="宋体"/>
          <w:bCs/>
          <w:sz w:val="24"/>
        </w:rPr>
      </w:pPr>
      <w:r>
        <w:rPr>
          <w:rFonts w:hint="eastAsia" w:ascii="宋体" w:hAnsi="宋体"/>
          <w:bCs/>
          <w:sz w:val="24"/>
        </w:rPr>
        <w:t>在合同有效期内，运煤时间以买方通知为准。买方可以根据实际生产所需煤量及市场价格变化等情况，提前两天书面通知卖方停止发煤，是否恢复供煤以买方书面通知为准；由买方通知停止发煤的不执行煤炭发运量偏差考核。</w:t>
      </w:r>
    </w:p>
    <w:p>
      <w:pPr>
        <w:spacing w:beforeLines="50" w:line="360" w:lineRule="auto"/>
        <w:ind w:right="-357" w:rightChars="-170"/>
        <w:rPr>
          <w:rFonts w:ascii="宋体" w:hAnsi="宋体"/>
          <w:b/>
          <w:bCs/>
          <w:sz w:val="24"/>
        </w:rPr>
      </w:pPr>
      <w:r>
        <w:rPr>
          <w:rFonts w:hint="eastAsia" w:ascii="宋体" w:hAnsi="宋体"/>
          <w:b/>
          <w:bCs/>
          <w:sz w:val="24"/>
        </w:rPr>
        <w:t>十一、掺杂使假煤的界定及处理：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十二、煤质预报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十三、铁路</w:t>
      </w:r>
      <w:r>
        <w:rPr>
          <w:rFonts w:hint="eastAsia" w:ascii="宋体" w:hAnsi="宋体"/>
          <w:b/>
          <w:bCs/>
          <w:sz w:val="24"/>
          <w:lang w:eastAsia="zh-CN"/>
        </w:rPr>
        <w:t>电子</w:t>
      </w:r>
      <w:r>
        <w:rPr>
          <w:rFonts w:hint="eastAsia" w:ascii="宋体" w:hAnsi="宋体"/>
          <w:b/>
          <w:bCs/>
          <w:sz w:val="24"/>
        </w:rPr>
        <w:t>货票、铁路</w:t>
      </w:r>
      <w:r>
        <w:rPr>
          <w:rFonts w:hint="eastAsia" w:ascii="宋体" w:hAnsi="宋体"/>
          <w:b/>
          <w:bCs/>
          <w:sz w:val="24"/>
          <w:lang w:eastAsia="zh-CN"/>
        </w:rPr>
        <w:t>电子</w:t>
      </w:r>
      <w:r>
        <w:rPr>
          <w:rFonts w:hint="eastAsia" w:ascii="宋体" w:hAnsi="宋体"/>
          <w:b/>
          <w:bCs/>
          <w:sz w:val="24"/>
        </w:rPr>
        <w:t>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货物运单的“记事”栏中准确填写代卖方公司（全称）发运；如未</w:t>
      </w:r>
      <w:r>
        <w:rPr>
          <w:rFonts w:hint="eastAsia" w:ascii="宋体" w:hAnsi="宋体"/>
          <w:bCs/>
          <w:sz w:val="24"/>
          <w:lang w:eastAsia="zh-CN"/>
        </w:rPr>
        <w:t>在电子货物运单上</w:t>
      </w:r>
      <w:r>
        <w:rPr>
          <w:rFonts w:hint="eastAsia" w:ascii="宋体" w:hAnsi="宋体"/>
          <w:bCs/>
          <w:sz w:val="24"/>
        </w:rPr>
        <w:t>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3、卖方有义务要求铁路部门保证“发站承运日期”、“标重”、“车号”、“发站”“货票号”等准确、清晰；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十四、廉政条款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十五、其他事项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hint="eastAsia"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2020</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C5F75"/>
    <w:rsid w:val="00DD50AE"/>
    <w:rsid w:val="00E91083"/>
    <w:rsid w:val="00EB4D92"/>
    <w:rsid w:val="00EE6A42"/>
    <w:rsid w:val="00F0742F"/>
    <w:rsid w:val="00F53F31"/>
    <w:rsid w:val="00FD1E0F"/>
    <w:rsid w:val="00FD38E2"/>
    <w:rsid w:val="012639A9"/>
    <w:rsid w:val="014C2FE3"/>
    <w:rsid w:val="03110433"/>
    <w:rsid w:val="03937B41"/>
    <w:rsid w:val="04151F47"/>
    <w:rsid w:val="05A00B15"/>
    <w:rsid w:val="063D6B7C"/>
    <w:rsid w:val="075933D4"/>
    <w:rsid w:val="07AA7AD0"/>
    <w:rsid w:val="07DA08A2"/>
    <w:rsid w:val="07FD5AB9"/>
    <w:rsid w:val="0981659B"/>
    <w:rsid w:val="0A176D81"/>
    <w:rsid w:val="0A4F43F1"/>
    <w:rsid w:val="0AD862A3"/>
    <w:rsid w:val="0B196447"/>
    <w:rsid w:val="0C546B5F"/>
    <w:rsid w:val="0C756FC9"/>
    <w:rsid w:val="0DBE4F6A"/>
    <w:rsid w:val="0E29287B"/>
    <w:rsid w:val="0E5D097C"/>
    <w:rsid w:val="0ECF3CD4"/>
    <w:rsid w:val="0F30618A"/>
    <w:rsid w:val="0FE369D3"/>
    <w:rsid w:val="0FE37D9D"/>
    <w:rsid w:val="105A2794"/>
    <w:rsid w:val="108B52F7"/>
    <w:rsid w:val="110058D5"/>
    <w:rsid w:val="11221925"/>
    <w:rsid w:val="11556508"/>
    <w:rsid w:val="11EF2288"/>
    <w:rsid w:val="1233719C"/>
    <w:rsid w:val="126A5580"/>
    <w:rsid w:val="12794E76"/>
    <w:rsid w:val="14002073"/>
    <w:rsid w:val="14947E1C"/>
    <w:rsid w:val="14FA04F0"/>
    <w:rsid w:val="151C153E"/>
    <w:rsid w:val="15360DCE"/>
    <w:rsid w:val="1548737E"/>
    <w:rsid w:val="159B65DB"/>
    <w:rsid w:val="16006D5C"/>
    <w:rsid w:val="16A5439D"/>
    <w:rsid w:val="16AF1A51"/>
    <w:rsid w:val="171B37AC"/>
    <w:rsid w:val="17901567"/>
    <w:rsid w:val="17FC2913"/>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D4BAD"/>
    <w:rsid w:val="21BD480B"/>
    <w:rsid w:val="220D339C"/>
    <w:rsid w:val="222C0C51"/>
    <w:rsid w:val="22D021D2"/>
    <w:rsid w:val="22D16264"/>
    <w:rsid w:val="22E94BA0"/>
    <w:rsid w:val="232F120E"/>
    <w:rsid w:val="23890204"/>
    <w:rsid w:val="23F44A45"/>
    <w:rsid w:val="24214B95"/>
    <w:rsid w:val="243C3E31"/>
    <w:rsid w:val="245B6079"/>
    <w:rsid w:val="24E54766"/>
    <w:rsid w:val="254E0CF7"/>
    <w:rsid w:val="25661644"/>
    <w:rsid w:val="2582635D"/>
    <w:rsid w:val="25CD59BD"/>
    <w:rsid w:val="25E94DC9"/>
    <w:rsid w:val="25F12C79"/>
    <w:rsid w:val="263C0186"/>
    <w:rsid w:val="26647A3C"/>
    <w:rsid w:val="26FD3840"/>
    <w:rsid w:val="27425AD3"/>
    <w:rsid w:val="2784482F"/>
    <w:rsid w:val="27DC1C72"/>
    <w:rsid w:val="27E2745F"/>
    <w:rsid w:val="29360DC9"/>
    <w:rsid w:val="297205A0"/>
    <w:rsid w:val="299E7E9A"/>
    <w:rsid w:val="29B40B4B"/>
    <w:rsid w:val="2A20489D"/>
    <w:rsid w:val="2A65589E"/>
    <w:rsid w:val="2AB665BB"/>
    <w:rsid w:val="2AC64438"/>
    <w:rsid w:val="2B12191C"/>
    <w:rsid w:val="2B435C85"/>
    <w:rsid w:val="2B897503"/>
    <w:rsid w:val="2BEA2F5F"/>
    <w:rsid w:val="2C077972"/>
    <w:rsid w:val="2C174308"/>
    <w:rsid w:val="2CF91C86"/>
    <w:rsid w:val="2D427295"/>
    <w:rsid w:val="2DEB6916"/>
    <w:rsid w:val="2E731AFA"/>
    <w:rsid w:val="2EBF1630"/>
    <w:rsid w:val="2ED044E1"/>
    <w:rsid w:val="2EE90F1A"/>
    <w:rsid w:val="2F6C4DCE"/>
    <w:rsid w:val="30400AA1"/>
    <w:rsid w:val="30584207"/>
    <w:rsid w:val="30D939BD"/>
    <w:rsid w:val="313A1044"/>
    <w:rsid w:val="31597E9E"/>
    <w:rsid w:val="316C7412"/>
    <w:rsid w:val="317F5A54"/>
    <w:rsid w:val="31CD3226"/>
    <w:rsid w:val="31D058FF"/>
    <w:rsid w:val="32B8258B"/>
    <w:rsid w:val="32F91DB4"/>
    <w:rsid w:val="333940F7"/>
    <w:rsid w:val="34357492"/>
    <w:rsid w:val="344D4BBD"/>
    <w:rsid w:val="34E94D09"/>
    <w:rsid w:val="358A1B43"/>
    <w:rsid w:val="35D14A0A"/>
    <w:rsid w:val="36DA34BE"/>
    <w:rsid w:val="37204A67"/>
    <w:rsid w:val="376720D8"/>
    <w:rsid w:val="37D7537B"/>
    <w:rsid w:val="38861BA9"/>
    <w:rsid w:val="38AE356B"/>
    <w:rsid w:val="39123A1B"/>
    <w:rsid w:val="39280F61"/>
    <w:rsid w:val="398E2840"/>
    <w:rsid w:val="39B930ED"/>
    <w:rsid w:val="39D94D9C"/>
    <w:rsid w:val="3A31642D"/>
    <w:rsid w:val="3ABA41E9"/>
    <w:rsid w:val="3AC437C4"/>
    <w:rsid w:val="3ADF797F"/>
    <w:rsid w:val="3AF15F88"/>
    <w:rsid w:val="3B4342F8"/>
    <w:rsid w:val="3B5849B6"/>
    <w:rsid w:val="3BC16899"/>
    <w:rsid w:val="3CAC024A"/>
    <w:rsid w:val="3CC677BF"/>
    <w:rsid w:val="3D451A79"/>
    <w:rsid w:val="3DDB388F"/>
    <w:rsid w:val="3DF70391"/>
    <w:rsid w:val="3E0960DA"/>
    <w:rsid w:val="3E501EBE"/>
    <w:rsid w:val="3E707033"/>
    <w:rsid w:val="3E7F3E52"/>
    <w:rsid w:val="3EAC4BEE"/>
    <w:rsid w:val="3F0875EF"/>
    <w:rsid w:val="3F163FC0"/>
    <w:rsid w:val="3F2F7679"/>
    <w:rsid w:val="40147DD8"/>
    <w:rsid w:val="4081456B"/>
    <w:rsid w:val="4120200E"/>
    <w:rsid w:val="414F68F1"/>
    <w:rsid w:val="417C1121"/>
    <w:rsid w:val="422F4664"/>
    <w:rsid w:val="425564E7"/>
    <w:rsid w:val="42D27DF6"/>
    <w:rsid w:val="42F54C26"/>
    <w:rsid w:val="438501B2"/>
    <w:rsid w:val="439C3572"/>
    <w:rsid w:val="445F3F41"/>
    <w:rsid w:val="44A26806"/>
    <w:rsid w:val="44B7012A"/>
    <w:rsid w:val="44B939D8"/>
    <w:rsid w:val="45407B9D"/>
    <w:rsid w:val="456514E1"/>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5F360A"/>
    <w:rsid w:val="4C846B87"/>
    <w:rsid w:val="4C8F1D0B"/>
    <w:rsid w:val="4CC50F61"/>
    <w:rsid w:val="4CFC3CDA"/>
    <w:rsid w:val="4D0F240C"/>
    <w:rsid w:val="4D6A598B"/>
    <w:rsid w:val="4D6D08C8"/>
    <w:rsid w:val="4E366F5F"/>
    <w:rsid w:val="4ED37A76"/>
    <w:rsid w:val="4F1C3AF2"/>
    <w:rsid w:val="4FFD4F03"/>
    <w:rsid w:val="50377212"/>
    <w:rsid w:val="507C44F1"/>
    <w:rsid w:val="507C7232"/>
    <w:rsid w:val="5084423B"/>
    <w:rsid w:val="50AE0306"/>
    <w:rsid w:val="5174293B"/>
    <w:rsid w:val="51B546CE"/>
    <w:rsid w:val="523C422B"/>
    <w:rsid w:val="5247092F"/>
    <w:rsid w:val="53784961"/>
    <w:rsid w:val="53915035"/>
    <w:rsid w:val="53C318B8"/>
    <w:rsid w:val="54B21F2C"/>
    <w:rsid w:val="55307009"/>
    <w:rsid w:val="55DF5B0A"/>
    <w:rsid w:val="560D7D6C"/>
    <w:rsid w:val="569121E0"/>
    <w:rsid w:val="57015497"/>
    <w:rsid w:val="57814D7C"/>
    <w:rsid w:val="57871BDA"/>
    <w:rsid w:val="57D30210"/>
    <w:rsid w:val="581F6341"/>
    <w:rsid w:val="5869634C"/>
    <w:rsid w:val="58D64087"/>
    <w:rsid w:val="592E205C"/>
    <w:rsid w:val="5B701AE8"/>
    <w:rsid w:val="5B9F1CC7"/>
    <w:rsid w:val="5C8219A2"/>
    <w:rsid w:val="5D787418"/>
    <w:rsid w:val="5DFB68AD"/>
    <w:rsid w:val="5E1051C8"/>
    <w:rsid w:val="5E495A2C"/>
    <w:rsid w:val="5E543006"/>
    <w:rsid w:val="5EA0688F"/>
    <w:rsid w:val="5EB13672"/>
    <w:rsid w:val="5F255130"/>
    <w:rsid w:val="5FE85471"/>
    <w:rsid w:val="60C0183C"/>
    <w:rsid w:val="60D84525"/>
    <w:rsid w:val="615B335E"/>
    <w:rsid w:val="61CB1B76"/>
    <w:rsid w:val="62F75598"/>
    <w:rsid w:val="630F546E"/>
    <w:rsid w:val="631E4879"/>
    <w:rsid w:val="639179BB"/>
    <w:rsid w:val="63C67B2F"/>
    <w:rsid w:val="642B3DD5"/>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A62A0"/>
    <w:rsid w:val="710C2D50"/>
    <w:rsid w:val="711257D0"/>
    <w:rsid w:val="71AE40C6"/>
    <w:rsid w:val="71D70010"/>
    <w:rsid w:val="721F3E72"/>
    <w:rsid w:val="72F601EE"/>
    <w:rsid w:val="73AB015D"/>
    <w:rsid w:val="73CE5248"/>
    <w:rsid w:val="74ED01B9"/>
    <w:rsid w:val="765905A3"/>
    <w:rsid w:val="766D0812"/>
    <w:rsid w:val="77285C8F"/>
    <w:rsid w:val="779362E1"/>
    <w:rsid w:val="786D1F36"/>
    <w:rsid w:val="78A9759F"/>
    <w:rsid w:val="78AB6510"/>
    <w:rsid w:val="795B4F2D"/>
    <w:rsid w:val="79B95177"/>
    <w:rsid w:val="79D36400"/>
    <w:rsid w:val="7A5C099E"/>
    <w:rsid w:val="7ADB2E7D"/>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NTKO</cp:lastModifiedBy>
  <cp:lastPrinted>2020-07-04T07:20:00Z</cp:lastPrinted>
  <dcterms:modified xsi:type="dcterms:W3CDTF">2020-11-10T06:32:18Z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