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仿宋_GB2312"/>
          <w:b/>
          <w:bCs/>
          <w:sz w:val="44"/>
          <w:szCs w:val="44"/>
        </w:rPr>
      </w:pPr>
      <w:r>
        <w:rPr>
          <w:rFonts w:hint="eastAsia" w:ascii="宋体" w:hAnsi="宋体" w:cs="仿宋_GB2312"/>
          <w:b/>
          <w:bCs/>
          <w:sz w:val="44"/>
          <w:szCs w:val="44"/>
        </w:rPr>
        <w:t>竞价采购交易书</w:t>
      </w:r>
    </w:p>
    <w:p>
      <w:pPr>
        <w:jc w:val="center"/>
        <w:rPr>
          <w:rFonts w:ascii="宋体" w:hAnsi="宋体" w:cs="仿宋_GB2312"/>
          <w:b/>
          <w:bCs/>
          <w:sz w:val="24"/>
        </w:rPr>
      </w:pPr>
      <w:r>
        <w:rPr>
          <w:rFonts w:hint="eastAsia" w:ascii="宋体" w:hAnsi="宋体" w:cs="仿宋_GB2312"/>
          <w:b/>
          <w:bCs/>
          <w:sz w:val="24"/>
        </w:rPr>
        <w:t>（2020年第9期）</w:t>
      </w:r>
    </w:p>
    <w:p>
      <w:pPr>
        <w:spacing w:line="360" w:lineRule="auto"/>
        <w:rPr>
          <w:rFonts w:cs="仿宋_GB2312" w:asciiTheme="minorEastAsia" w:hAnsiTheme="minorEastAsia" w:eastAsiaTheme="minorEastAsia"/>
          <w:b/>
          <w:bCs/>
          <w:sz w:val="24"/>
        </w:rPr>
      </w:pPr>
      <w:r>
        <w:rPr>
          <w:rFonts w:hint="eastAsia" w:ascii="宋体" w:hAnsi="宋体" w:cs="仿宋_GB2312"/>
          <w:b/>
          <w:bCs/>
          <w:sz w:val="24"/>
        </w:rPr>
        <w:t xml:space="preserve">  </w:t>
      </w:r>
      <w:r>
        <w:rPr>
          <w:rFonts w:hint="eastAsia" w:cs="仿宋_GB2312" w:asciiTheme="minorEastAsia" w:hAnsiTheme="minorEastAsia" w:eastAsiaTheme="minorEastAsia"/>
          <w:b/>
          <w:bCs/>
          <w:sz w:val="24"/>
        </w:rPr>
        <w:t xml:space="preserve"> 江西新源燃料有限公司对2020年4月份内贸煤（景德镇电厂凰岗通道）进行竞价交易，现将有关事项说明如下：</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一、招标数量：本次竞价招标数量5万吨</w:t>
      </w:r>
      <w:r>
        <w:rPr>
          <w:rFonts w:hint="eastAsia" w:cs="仿宋_GB2312" w:asciiTheme="minorEastAsia" w:hAnsiTheme="minorEastAsia" w:eastAsiaTheme="minorEastAsia"/>
          <w:b/>
          <w:bCs/>
          <w:sz w:val="24"/>
          <w:lang w:eastAsia="zh-CN"/>
        </w:rPr>
        <w:t>（</w:t>
      </w:r>
      <w:r>
        <w:rPr>
          <w:rFonts w:hint="eastAsia" w:cs="仿宋_GB2312" w:asciiTheme="minorEastAsia" w:hAnsiTheme="minorEastAsia" w:eastAsiaTheme="minorEastAsia"/>
          <w:b/>
          <w:bCs/>
          <w:sz w:val="24"/>
        </w:rPr>
        <w:t>±10%</w:t>
      </w:r>
      <w:bookmarkStart w:id="0" w:name="_GoBack"/>
      <w:bookmarkEnd w:id="0"/>
      <w:r>
        <w:rPr>
          <w:rFonts w:hint="eastAsia" w:cs="仿宋_GB2312" w:asciiTheme="minorEastAsia" w:hAnsiTheme="minorEastAsia" w:eastAsiaTheme="minorEastAsia"/>
          <w:b/>
          <w:bCs/>
          <w:sz w:val="24"/>
          <w:lang w:eastAsia="zh-CN"/>
        </w:rPr>
        <w:t>）</w:t>
      </w:r>
      <w:r>
        <w:rPr>
          <w:rFonts w:hint="eastAsia" w:cs="仿宋_GB2312" w:asciiTheme="minorEastAsia" w:hAnsiTheme="minorEastAsia" w:eastAsiaTheme="minorEastAsia"/>
          <w:b/>
          <w:bCs/>
          <w:sz w:val="24"/>
        </w:rPr>
        <w:t>。</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二、交货时间：5月10日至5月31日（5月10日必须抵达凰岗码头开始进厂）。</w:t>
      </w:r>
    </w:p>
    <w:p>
      <w:pPr>
        <w:pStyle w:val="11"/>
        <w:numPr>
          <w:ilvl w:val="0"/>
          <w:numId w:val="1"/>
        </w:numPr>
        <w:spacing w:line="360" w:lineRule="auto"/>
        <w:ind w:firstLineChars="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交货方式及地点：到厂第三方交货、景德镇电厂煤场。</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四、验收方式: 景德镇电厂驻厂第三方检测。</w:t>
      </w:r>
    </w:p>
    <w:p>
      <w:pPr>
        <w:tabs>
          <w:tab w:val="right" w:pos="8306"/>
        </w:tabs>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五、最高限价：有，且不高于当期市场价。</w:t>
      </w:r>
      <w:r>
        <w:rPr>
          <w:rFonts w:cs="仿宋_GB2312" w:asciiTheme="minorEastAsia" w:hAnsiTheme="minorEastAsia" w:eastAsiaTheme="minorEastAsia"/>
          <w:b/>
          <w:bCs/>
          <w:sz w:val="24"/>
        </w:rPr>
        <w:tab/>
      </w:r>
    </w:p>
    <w:p>
      <w:pPr>
        <w:spacing w:line="360" w:lineRule="auto"/>
        <w:ind w:firstLine="482" w:firstLineChars="200"/>
        <w:rPr>
          <w:rFonts w:ascii="宋体" w:hAnsi="宋体" w:cs="仿宋_GB2312"/>
          <w:b/>
          <w:bCs/>
          <w:sz w:val="24"/>
        </w:rPr>
      </w:pPr>
      <w:r>
        <w:rPr>
          <w:rFonts w:hint="eastAsia" w:cs="仿宋_GB2312" w:asciiTheme="minorEastAsia" w:hAnsiTheme="minorEastAsia" w:eastAsiaTheme="minorEastAsia"/>
          <w:b/>
          <w:bCs/>
          <w:sz w:val="24"/>
        </w:rPr>
        <w:t>六、竞价平台：</w:t>
      </w:r>
      <w:r>
        <w:rPr>
          <w:rFonts w:hint="eastAsia" w:ascii="宋体" w:hAnsi="宋体" w:cs="仿宋_GB2312"/>
          <w:b/>
          <w:bCs/>
          <w:sz w:val="24"/>
        </w:rPr>
        <w:t>易煤网阳光采购平台（</w:t>
      </w:r>
      <w:r>
        <w:rPr>
          <w:rFonts w:ascii="宋体" w:hAnsi="宋体" w:cs="仿宋_GB2312"/>
          <w:b/>
          <w:bCs/>
          <w:sz w:val="24"/>
        </w:rPr>
        <w:t>http://www.yimei180.com/</w:t>
      </w:r>
      <w:r>
        <w:rPr>
          <w:rFonts w:hint="eastAsia" w:ascii="宋体" w:hAnsi="宋体" w:cs="仿宋_GB2312"/>
          <w:b/>
          <w:bCs/>
          <w:sz w:val="24"/>
        </w:rPr>
        <w:t>）。</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七、竞价入选规则：按照“价格低优先”的原则，实行合理低价中标。</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八、煤炭质量标准：</w:t>
      </w:r>
    </w:p>
    <w:p>
      <w:pPr>
        <w:pStyle w:val="8"/>
        <w:spacing w:line="360" w:lineRule="auto"/>
        <w:ind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1、品种：单一</w:t>
      </w:r>
      <w:r>
        <w:rPr>
          <w:rFonts w:hint="eastAsia" w:ascii="宋体" w:hAnsi="宋体" w:cs="仿宋_GB2312"/>
          <w:b/>
          <w:bCs/>
          <w:sz w:val="24"/>
          <w:szCs w:val="24"/>
        </w:rPr>
        <w:t>山西煤</w:t>
      </w:r>
      <w:r>
        <w:rPr>
          <w:rFonts w:hint="eastAsia" w:ascii="宋体" w:hAnsi="宋体" w:cs="仿宋_GB2312"/>
          <w:b/>
          <w:bCs/>
          <w:sz w:val="24"/>
        </w:rPr>
        <w:t>。</w:t>
      </w:r>
    </w:p>
    <w:p>
      <w:pPr>
        <w:pStyle w:val="8"/>
        <w:spacing w:line="360" w:lineRule="auto"/>
        <w:ind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2、品质：4900 ≤Qnet.ar≤ 5200大卡/千克，Vad≥ 25 %， St.ar≤ 1%，Mar≤ 13 %；</w:t>
      </w:r>
    </w:p>
    <w:p>
      <w:pPr>
        <w:pStyle w:val="8"/>
        <w:spacing w:line="360" w:lineRule="auto"/>
        <w:ind w:firstLine="482"/>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3、物理特性：流动性好，不湿不粘，均匀,标称粒度（mm）≤50,灰熔点ST（℃）＞ 1350；哈式可磨系数＞50。</w:t>
      </w:r>
    </w:p>
    <w:p>
      <w:pPr>
        <w:spacing w:line="440" w:lineRule="exact"/>
        <w:ind w:firstLine="472" w:firstLineChars="196"/>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九、煤炭价格： Qnet.ar=5000千卡/千克，一票含税现汇价（含13%增值税）：X元</w:t>
      </w:r>
      <w:r>
        <w:rPr>
          <w:rFonts w:cs="仿宋_GB2312" w:asciiTheme="minorEastAsia" w:hAnsiTheme="minorEastAsia" w:eastAsiaTheme="minorEastAsia"/>
          <w:b/>
          <w:bCs/>
          <w:sz w:val="24"/>
        </w:rPr>
        <w:t>/</w:t>
      </w:r>
      <w:r>
        <w:rPr>
          <w:rFonts w:hint="eastAsia" w:cs="仿宋_GB2312" w:asciiTheme="minorEastAsia" w:hAnsiTheme="minorEastAsia" w:eastAsiaTheme="minorEastAsia"/>
          <w:b/>
          <w:bCs/>
          <w:sz w:val="24"/>
        </w:rPr>
        <w:t>吨。</w:t>
      </w:r>
    </w:p>
    <w:p>
      <w:pPr>
        <w:pStyle w:val="8"/>
        <w:spacing w:line="360" w:lineRule="auto"/>
        <w:ind w:firstLine="482"/>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 xml:space="preserve"> 结算单价</w:t>
      </w:r>
      <w:r>
        <w:rPr>
          <w:rFonts w:cs="仿宋_GB2312" w:asciiTheme="minorEastAsia" w:hAnsiTheme="minorEastAsia" w:eastAsiaTheme="minorEastAsia"/>
          <w:b/>
          <w:bCs/>
          <w:sz w:val="24"/>
        </w:rPr>
        <w:t>=</w:t>
      </w:r>
      <w:r>
        <w:rPr>
          <w:rFonts w:hint="eastAsia" w:cs="仿宋_GB2312" w:asciiTheme="minorEastAsia" w:hAnsiTheme="minorEastAsia" w:eastAsiaTheme="minorEastAsia"/>
          <w:b/>
          <w:bCs/>
          <w:sz w:val="24"/>
        </w:rPr>
        <w:t>合同价格（一票含税现汇价）</w:t>
      </w:r>
      <w:r>
        <w:rPr>
          <w:rFonts w:cs="仿宋_GB2312" w:asciiTheme="minorEastAsia" w:hAnsiTheme="minorEastAsia" w:eastAsiaTheme="minorEastAsia"/>
          <w:b/>
          <w:bCs/>
          <w:sz w:val="24"/>
        </w:rPr>
        <w:t>+</w:t>
      </w:r>
      <w:r>
        <w:rPr>
          <w:rFonts w:hint="eastAsia" w:cs="仿宋_GB2312" w:asciiTheme="minorEastAsia" w:hAnsiTheme="minorEastAsia" w:eastAsiaTheme="minorEastAsia"/>
          <w:b/>
          <w:bCs/>
          <w:sz w:val="24"/>
        </w:rPr>
        <w:t>发热量考核+全硫考核+挥发分考核。</w:t>
      </w:r>
    </w:p>
    <w:p>
      <w:pPr>
        <w:pStyle w:val="8"/>
        <w:spacing w:line="360" w:lineRule="auto"/>
        <w:ind w:firstLine="482"/>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1、质量计价: Qnet.ar=5000千卡/千克，一票含税现汇价（含13%增值税）：     X元</w:t>
      </w:r>
      <w:r>
        <w:rPr>
          <w:rFonts w:cs="仿宋_GB2312" w:asciiTheme="minorEastAsia" w:hAnsiTheme="minorEastAsia" w:eastAsiaTheme="minorEastAsia"/>
          <w:b/>
          <w:bCs/>
          <w:sz w:val="24"/>
          <w:szCs w:val="24"/>
        </w:rPr>
        <w:t>/</w:t>
      </w:r>
      <w:r>
        <w:rPr>
          <w:rFonts w:hint="eastAsia" w:cs="仿宋_GB2312" w:asciiTheme="minorEastAsia" w:hAnsiTheme="minorEastAsia" w:eastAsiaTheme="minorEastAsia"/>
          <w:b/>
          <w:bCs/>
          <w:sz w:val="24"/>
          <w:szCs w:val="24"/>
        </w:rPr>
        <w:t xml:space="preserve">吨。当加权平均收到基低位热值Qnet.ar≥4900 Kcal/kg时，以5000Kcal/kg为基准，当热值每升高或降低1 Kcal/kg时，结算煤价相应上调或下降（一票含税现汇价/5000）元/吨；当加权平均收到基低位热值4700Kcal/kg≤Qnet.ar＜4900 Kcal/kg时，以5000Kcal/kg为基准，每下降1 Kcal/kg，结算单价下调（一票含税现汇价/5000+0.001）元/吨；当加权平均收到基低位热值Qnet.ar＜4700Kcal/kg时，以5000Kcal/kg为基准，每下降1 Kcal/kg，结算单价下调﹝2*（一票含税现汇价/5000+0.001）﹞元/吨。 </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2、挥发份（Vad）考核: 当加权平均空干基挥发分Vad≥25</w:t>
      </w:r>
      <w:r>
        <w:rPr>
          <w:rFonts w:cs="仿宋_GB2312" w:asciiTheme="minorEastAsia" w:hAnsiTheme="minorEastAsia" w:eastAsiaTheme="minorEastAsia"/>
          <w:b/>
          <w:bCs/>
          <w:sz w:val="24"/>
        </w:rPr>
        <w:t>%</w:t>
      </w:r>
      <w:r>
        <w:rPr>
          <w:rFonts w:hint="eastAsia" w:cs="仿宋_GB2312" w:asciiTheme="minorEastAsia" w:hAnsiTheme="minorEastAsia" w:eastAsiaTheme="minorEastAsia"/>
          <w:b/>
          <w:bCs/>
          <w:sz w:val="24"/>
        </w:rPr>
        <w:t>时，不予奖罚；当加权平均空干基挥发分20%≤Vad＜25%时，减价:(25%- Vad)×100×2元/吨。当加权平均空干基挥发分17%≤Vad＜20%时，减价:(25%- Vad)×100×4元/吨。当加权平均空干基挥发分Vad小于17%时，购方有权拒收，由此造成的损失由销方承担。</w:t>
      </w:r>
    </w:p>
    <w:p>
      <w:pPr>
        <w:spacing w:line="360" w:lineRule="auto"/>
        <w:ind w:firstLine="361" w:firstLineChars="15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 xml:space="preserve"> 3、含硫量（St.ar）考核:当加权平均收到基全硫St,ar≤1.0%，不予奖罚；当加权平均收到基全硫1.0%＜St,ar≤1.5%时，减价：（St,ar-1.0%）×100×30元/吨。当加权平均收到基全硫St,ar＞1.5%时，减价：（St,ar-1.0%）×100×40元/吨。</w:t>
      </w:r>
    </w:p>
    <w:p>
      <w:pPr>
        <w:spacing w:line="360" w:lineRule="auto"/>
        <w:ind w:firstLine="361" w:firstLineChars="15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 xml:space="preserve"> 4、水分考核：当收到基全水分Mar＞13 %时，我方有权降价。</w:t>
      </w:r>
    </w:p>
    <w:p>
      <w:pPr>
        <w:spacing w:line="360" w:lineRule="auto"/>
        <w:ind w:firstLine="361" w:firstLineChars="15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 xml:space="preserve"> 5、灰熔点考核: 当ST≥1350（℃）不予奖罚；当1350℃＞ST≥1250℃在原一票含税现汇价的基础上减价10元/吨，如1250℃＞ST≥1150℃在原一票含税现汇价的基础上减价20元/吨，如ST＜1150℃我方有权拒收。 </w:t>
      </w:r>
    </w:p>
    <w:p>
      <w:pPr>
        <w:spacing w:line="360" w:lineRule="auto"/>
        <w:ind w:firstLine="361" w:firstLineChars="15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 xml:space="preserve"> 6、若全部船舶未能在指定时间交货，并因此影响购方调运安排的，购方有权追诉销方逾期费用。</w:t>
      </w:r>
    </w:p>
    <w:p>
      <w:pPr>
        <w:spacing w:line="360" w:lineRule="auto"/>
        <w:ind w:firstLine="361" w:firstLineChars="15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 xml:space="preserve"> 7、如供应煤炭与上述物理特性不符，购方有权降价。</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 xml:space="preserve">  十、竞价要求:</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1、各受邀供应商在满足以上各项煤炭指标的情况下，准确填报易煤网阳光采购平台中煤炭出售价格、出售数量、交货时间、交货地点、交货方式等相关信息，并将《煤炭竞价表》盖章扫描后，根据竞价采购交易书要求在易煤网阳光采购平台（http://www.yimei180.com/）上传，截止时间：2020 年 4月20日 16时。</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2、所有参加报价的供应商须在竞价截止日前缴纳竞价保证金5万元，</w:t>
      </w:r>
      <w:r>
        <w:rPr>
          <w:rFonts w:hint="eastAsia" w:cs="仿宋_GB2312" w:asciiTheme="minorEastAsia" w:hAnsiTheme="minorEastAsia" w:eastAsiaTheme="minorEastAsia"/>
          <w:b/>
          <w:bCs/>
          <w:color w:val="FF0000"/>
          <w:sz w:val="24"/>
        </w:rPr>
        <w:t>并在汇款备注里注明竞价保证金</w:t>
      </w:r>
      <w:r>
        <w:rPr>
          <w:rFonts w:hint="eastAsia" w:cs="仿宋_GB2312" w:asciiTheme="minorEastAsia" w:hAnsiTheme="minorEastAsia" w:eastAsiaTheme="minorEastAsia"/>
          <w:b/>
          <w:bCs/>
          <w:sz w:val="24"/>
        </w:rPr>
        <w:t>,否则供应商报价按照作废处理。供应商参与竞价但未被采购人确认成交的，采购人按收款信息全额退还保证金（或可作为年度竞价专用）；供应商参与竞价且被采购人确认成交，但未按约定签订煤炭买卖合同，竞价保证金不予退还。</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3、供应商收到《竞价成功通知书》（电子扫描件有效）后,须在 2个工作日内，在按照约定签订煤炭买卖合同之前，以中标量按中标量2万吨（包含）以下10元/吨、中标量2万吨以上20元/吨，交纳合同履约保证金，同时双方签定履约保证金协议（传真件有效）。</w:t>
      </w:r>
    </w:p>
    <w:p>
      <w:pPr>
        <w:spacing w:line="560" w:lineRule="exact"/>
        <w:ind w:firstLine="549" w:firstLineChars="228"/>
        <w:jc w:val="left"/>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竞价保证金及合同履约保证金不收取现金及汇票，汇款至以下账户：</w:t>
      </w:r>
    </w:p>
    <w:p>
      <w:pPr>
        <w:spacing w:line="560" w:lineRule="exact"/>
        <w:ind w:firstLine="549" w:firstLineChars="228"/>
        <w:jc w:val="left"/>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收款单位名称：江西新源燃料有限公司</w:t>
      </w:r>
    </w:p>
    <w:p>
      <w:pPr>
        <w:spacing w:line="560" w:lineRule="exact"/>
        <w:ind w:firstLine="549" w:firstLineChars="228"/>
        <w:jc w:val="left"/>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开   户   行：中国建设银行股份有限公司南昌高新开发区支行</w:t>
      </w:r>
    </w:p>
    <w:p>
      <w:pPr>
        <w:spacing w:line="560" w:lineRule="exact"/>
        <w:ind w:firstLine="549" w:firstLineChars="228"/>
        <w:jc w:val="left"/>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 xml:space="preserve">账        号：36050153017100000504 </w:t>
      </w:r>
    </w:p>
    <w:p>
      <w:pPr>
        <w:spacing w:line="360" w:lineRule="auto"/>
        <w:ind w:firstLine="57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4、供应商合同兑现率原则上为100±10%。</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 xml:space="preserve">4.1 供应商因自身原因导致合同兑现率未完成100% ，按以下处理：                                             </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20元。如发生以下情况的，合同履约保证金将不予退还：</w:t>
      </w:r>
    </w:p>
    <w:p>
      <w:pPr>
        <w:spacing w:line="360" w:lineRule="auto"/>
        <w:ind w:firstLine="482" w:firstLineChars="200"/>
        <w:rPr>
          <w:rFonts w:cs="仿宋_GB2312" w:asciiTheme="minorEastAsia" w:hAnsiTheme="minorEastAsia" w:eastAsiaTheme="minorEastAsia"/>
          <w:b/>
          <w:bCs/>
          <w:sz w:val="24"/>
        </w:rPr>
      </w:pPr>
      <w:r>
        <w:rPr>
          <w:rFonts w:cs="仿宋_GB2312" w:asciiTheme="minorEastAsia" w:hAnsiTheme="minorEastAsia" w:eastAsiaTheme="minorEastAsia"/>
          <w:b/>
          <w:bCs/>
          <w:sz w:val="24"/>
        </w:rPr>
        <w:t>（</w:t>
      </w:r>
      <w:r>
        <w:rPr>
          <w:rFonts w:hint="eastAsia" w:cs="仿宋_GB2312" w:asciiTheme="minorEastAsia" w:hAnsiTheme="minorEastAsia" w:eastAsiaTheme="minorEastAsia"/>
          <w:b/>
          <w:bCs/>
          <w:sz w:val="24"/>
        </w:rPr>
        <w:t>1</w:t>
      </w:r>
      <w:r>
        <w:rPr>
          <w:rFonts w:cs="仿宋_GB2312" w:asciiTheme="minorEastAsia" w:hAnsiTheme="minorEastAsia" w:eastAsiaTheme="minorEastAsia"/>
          <w:b/>
          <w:bCs/>
          <w:sz w:val="24"/>
        </w:rPr>
        <w:t>）</w:t>
      </w:r>
      <w:r>
        <w:rPr>
          <w:rFonts w:hint="eastAsia" w:cs="仿宋_GB2312" w:asciiTheme="minorEastAsia" w:hAnsiTheme="minorEastAsia" w:eastAsiaTheme="minorEastAsia"/>
          <w:b/>
          <w:bCs/>
          <w:sz w:val="24"/>
        </w:rPr>
        <w:t>竞价成交的供应商未按规定与采购人签订合同；</w:t>
      </w:r>
    </w:p>
    <w:p>
      <w:pPr>
        <w:spacing w:line="360" w:lineRule="auto"/>
        <w:ind w:firstLine="482" w:firstLineChars="200"/>
        <w:rPr>
          <w:rFonts w:cs="仿宋_GB2312" w:asciiTheme="minorEastAsia" w:hAnsiTheme="minorEastAsia" w:eastAsiaTheme="minorEastAsia"/>
          <w:b/>
          <w:bCs/>
          <w:sz w:val="24"/>
        </w:rPr>
      </w:pPr>
      <w:r>
        <w:rPr>
          <w:rFonts w:cs="仿宋_GB2312" w:asciiTheme="minorEastAsia" w:hAnsiTheme="minorEastAsia" w:eastAsiaTheme="minorEastAsia"/>
          <w:b/>
          <w:bCs/>
          <w:sz w:val="24"/>
        </w:rPr>
        <w:t>（</w:t>
      </w:r>
      <w:r>
        <w:rPr>
          <w:rFonts w:hint="eastAsia" w:cs="仿宋_GB2312" w:asciiTheme="minorEastAsia" w:hAnsiTheme="minorEastAsia" w:eastAsiaTheme="minorEastAsia"/>
          <w:b/>
          <w:bCs/>
          <w:sz w:val="24"/>
        </w:rPr>
        <w:t>2</w:t>
      </w:r>
      <w:r>
        <w:rPr>
          <w:rFonts w:cs="仿宋_GB2312" w:asciiTheme="minorEastAsia" w:hAnsiTheme="minorEastAsia" w:eastAsiaTheme="minorEastAsia"/>
          <w:b/>
          <w:bCs/>
          <w:sz w:val="24"/>
        </w:rPr>
        <w:t>）</w:t>
      </w:r>
      <w:r>
        <w:rPr>
          <w:rFonts w:hint="eastAsia" w:cs="仿宋_GB2312" w:asciiTheme="minorEastAsia" w:hAnsiTheme="minorEastAsia" w:eastAsiaTheme="minorEastAsia"/>
          <w:b/>
          <w:bCs/>
          <w:sz w:val="24"/>
        </w:rPr>
        <w:t>竞价成交的供应商签订合同后，未履行合同义务；</w:t>
      </w:r>
    </w:p>
    <w:p>
      <w:pPr>
        <w:spacing w:line="360" w:lineRule="auto"/>
        <w:ind w:firstLine="482" w:firstLineChars="200"/>
        <w:rPr>
          <w:rFonts w:cs="仿宋_GB2312" w:asciiTheme="minorEastAsia" w:hAnsiTheme="minorEastAsia" w:eastAsiaTheme="minorEastAsia"/>
          <w:b/>
          <w:bCs/>
          <w:sz w:val="24"/>
        </w:rPr>
      </w:pPr>
      <w:r>
        <w:rPr>
          <w:rFonts w:cs="仿宋_GB2312" w:asciiTheme="minorEastAsia" w:hAnsiTheme="minorEastAsia" w:eastAsiaTheme="minorEastAsia"/>
          <w:b/>
          <w:bCs/>
          <w:sz w:val="24"/>
        </w:rPr>
        <w:t>（</w:t>
      </w:r>
      <w:r>
        <w:rPr>
          <w:rFonts w:hint="eastAsia" w:cs="仿宋_GB2312" w:asciiTheme="minorEastAsia" w:hAnsiTheme="minorEastAsia" w:eastAsiaTheme="minorEastAsia"/>
          <w:b/>
          <w:bCs/>
          <w:sz w:val="24"/>
        </w:rPr>
        <w:t>3</w:t>
      </w:r>
      <w:r>
        <w:rPr>
          <w:rFonts w:cs="仿宋_GB2312" w:asciiTheme="minorEastAsia" w:hAnsiTheme="minorEastAsia" w:eastAsiaTheme="minorEastAsia"/>
          <w:b/>
          <w:bCs/>
          <w:sz w:val="24"/>
        </w:rPr>
        <w:t>）</w:t>
      </w:r>
      <w:r>
        <w:rPr>
          <w:rFonts w:hint="eastAsia" w:cs="仿宋_GB2312" w:asciiTheme="minorEastAsia" w:hAnsiTheme="minorEastAsia" w:eastAsiaTheme="minorEastAsia"/>
          <w:b/>
          <w:bCs/>
          <w:sz w:val="24"/>
        </w:rPr>
        <w:t>竞价成交的供应商在履约过程中发生违反廉洁从业事件及法律法规规定的其他情形。</w:t>
      </w:r>
    </w:p>
    <w:p>
      <w:pPr>
        <w:spacing w:line="360" w:lineRule="auto"/>
        <w:ind w:firstLine="482" w:firstLineChars="20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4.2  具体执行中电厂可根据煤炭需求情况与供应商协商，达成一致后，将供应商供应量上、下调整幅度在煤炭供应合同条款中约定，如供应商未完成合同约定供应量，将按合同条款考核供应商。</w:t>
      </w:r>
    </w:p>
    <w:p>
      <w:pPr>
        <w:spacing w:line="360" w:lineRule="auto"/>
        <w:ind w:firstLine="57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5、供应商之间不能互相通气，哄抬物价，扰乱市场，一经发现，取消相关违规供应商的竞价资格。</w:t>
      </w:r>
    </w:p>
    <w:p>
      <w:pPr>
        <w:spacing w:line="360" w:lineRule="auto"/>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 xml:space="preserve">     6、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pPr>
        <w:spacing w:line="360" w:lineRule="auto"/>
        <w:ind w:firstLine="570"/>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7、 供应商必须保证所发煤炭的品种和品质与竞价时提报的完全一致。不得掺杂使假、以次充好，否则电厂有权拒收，或单方面终止合同，已经验收的煤炭结算时按煤质考核条款加倍扣款。</w:t>
      </w:r>
    </w:p>
    <w:p>
      <w:pPr>
        <w:rPr>
          <w:rFonts w:cs="仿宋_GB2312" w:asciiTheme="minorEastAsia" w:hAnsiTheme="minorEastAsia" w:eastAsiaTheme="minorEastAsia"/>
          <w:b/>
          <w:bCs/>
          <w:sz w:val="24"/>
        </w:rPr>
      </w:pPr>
    </w:p>
    <w:p>
      <w:pPr>
        <w:spacing w:line="360" w:lineRule="auto"/>
        <w:rPr>
          <w:rFonts w:ascii="宋体" w:hAnsi="宋体" w:cs="仿宋_GB2312"/>
          <w:b/>
          <w:bCs/>
          <w:sz w:val="24"/>
        </w:rPr>
      </w:pPr>
      <w:r>
        <w:rPr>
          <w:rFonts w:hint="eastAsia" w:ascii="宋体" w:hAnsi="宋体" w:cs="仿宋_GB2312"/>
          <w:b/>
          <w:bCs/>
          <w:sz w:val="24"/>
        </w:rPr>
        <w:t xml:space="preserve">                                          江西新源燃料有限公司</w:t>
      </w:r>
    </w:p>
    <w:p>
      <w:pPr>
        <w:spacing w:line="360" w:lineRule="auto"/>
        <w:ind w:firstLine="482" w:firstLineChars="200"/>
        <w:rPr>
          <w:rFonts w:ascii="宋体" w:hAnsi="宋体" w:cs="仿宋_GB2312"/>
          <w:b/>
          <w:bCs/>
          <w:sz w:val="24"/>
        </w:rPr>
      </w:pPr>
      <w:r>
        <w:rPr>
          <w:rFonts w:hint="eastAsia" w:ascii="宋体" w:hAnsi="宋体" w:cs="仿宋_GB2312"/>
          <w:b/>
          <w:bCs/>
          <w:sz w:val="24"/>
        </w:rPr>
        <w:t xml:space="preserve">                                       2020年4月16日</w:t>
      </w:r>
    </w:p>
    <w:p>
      <w:pPr>
        <w:jc w:val="center"/>
        <w:rPr>
          <w:rFonts w:cs="宋体"/>
          <w:b/>
          <w:sz w:val="30"/>
          <w:szCs w:val="30"/>
        </w:rPr>
      </w:pPr>
    </w:p>
    <w:p>
      <w:pPr>
        <w:jc w:val="center"/>
        <w:rPr>
          <w:rFonts w:cs="宋体"/>
          <w:b/>
          <w:sz w:val="30"/>
          <w:szCs w:val="30"/>
        </w:rPr>
      </w:pPr>
    </w:p>
    <w:p>
      <w:pPr>
        <w:jc w:val="center"/>
        <w:rPr>
          <w:rFonts w:cs="宋体"/>
          <w:b/>
          <w:sz w:val="30"/>
          <w:szCs w:val="30"/>
        </w:rPr>
      </w:pPr>
    </w:p>
    <w:p>
      <w:pPr>
        <w:jc w:val="center"/>
        <w:rPr>
          <w:rFonts w:cs="宋体"/>
          <w:b/>
          <w:sz w:val="30"/>
          <w:szCs w:val="30"/>
        </w:rPr>
      </w:pPr>
    </w:p>
    <w:p>
      <w:pPr>
        <w:spacing w:line="520" w:lineRule="exact"/>
        <w:jc w:val="left"/>
        <w:rPr>
          <w:rFonts w:ascii="宋体" w:hAnsi="宋体" w:cs="仿宋_GB2312"/>
          <w:b/>
          <w:bCs/>
          <w:sz w:val="30"/>
          <w:szCs w:val="30"/>
        </w:rPr>
      </w:pPr>
      <w:r>
        <w:rPr>
          <w:rFonts w:hint="eastAsia" w:cs="仿宋_GB2312" w:asciiTheme="minorEastAsia" w:hAnsiTheme="minorEastAsia" w:eastAsiaTheme="minorEastAsia"/>
          <w:b/>
          <w:bCs/>
          <w:sz w:val="24"/>
        </w:rPr>
        <w:t>附件1</w:t>
      </w:r>
    </w:p>
    <w:p>
      <w:pPr>
        <w:spacing w:line="520" w:lineRule="exact"/>
        <w:jc w:val="center"/>
        <w:rPr>
          <w:rFonts w:ascii="宋体" w:hAnsi="宋体" w:cs="仿宋_GB2312"/>
          <w:b/>
          <w:bCs/>
          <w:sz w:val="30"/>
          <w:szCs w:val="30"/>
        </w:rPr>
      </w:pPr>
      <w:r>
        <w:rPr>
          <w:rFonts w:hint="eastAsia" w:ascii="宋体" w:hAnsi="宋体" w:cs="仿宋_GB2312"/>
          <w:b/>
          <w:bCs/>
          <w:sz w:val="30"/>
          <w:szCs w:val="30"/>
        </w:rPr>
        <w:t>煤 炭 竞 价 表</w:t>
      </w:r>
    </w:p>
    <w:p>
      <w:pPr>
        <w:snapToGrid w:val="0"/>
        <w:spacing w:line="300" w:lineRule="auto"/>
        <w:jc w:val="center"/>
        <w:rPr>
          <w:rFonts w:ascii="宋体" w:hAnsi="宋体" w:cs="仿宋_GB2312"/>
          <w:b/>
          <w:bCs/>
          <w:sz w:val="24"/>
        </w:rPr>
      </w:pPr>
      <w:r>
        <w:rPr>
          <w:rFonts w:hint="eastAsia" w:ascii="宋体" w:hAnsi="宋体" w:cs="仿宋_GB2312"/>
          <w:b/>
          <w:bCs/>
          <w:sz w:val="24"/>
        </w:rPr>
        <w:t>（</w:t>
      </w:r>
      <w:r>
        <w:rPr>
          <w:rFonts w:ascii="宋体" w:hAnsi="宋体" w:cs="仿宋_GB2312"/>
          <w:b/>
          <w:bCs/>
          <w:sz w:val="24"/>
        </w:rPr>
        <w:t>20</w:t>
      </w:r>
      <w:r>
        <w:rPr>
          <w:rFonts w:hint="eastAsia" w:ascii="宋体" w:hAnsi="宋体" w:cs="仿宋_GB2312"/>
          <w:b/>
          <w:bCs/>
          <w:sz w:val="24"/>
        </w:rPr>
        <w:t>20年4月，第9次）</w:t>
      </w:r>
    </w:p>
    <w:tbl>
      <w:tblPr>
        <w:tblStyle w:val="5"/>
        <w:tblW w:w="906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700"/>
        <w:gridCol w:w="420"/>
        <w:gridCol w:w="980"/>
        <w:gridCol w:w="560"/>
        <w:gridCol w:w="840"/>
        <w:gridCol w:w="840"/>
        <w:gridCol w:w="420"/>
        <w:gridCol w:w="560"/>
        <w:gridCol w:w="420"/>
        <w:gridCol w:w="560"/>
        <w:gridCol w:w="16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17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竞价供应商</w:t>
            </w:r>
          </w:p>
        </w:tc>
        <w:tc>
          <w:tcPr>
            <w:tcW w:w="7280" w:type="dxa"/>
            <w:gridSpan w:val="10"/>
            <w:tcBorders>
              <w:top w:val="single" w:color="000000" w:sz="4" w:space="0"/>
              <w:left w:val="single" w:color="000000" w:sz="4" w:space="0"/>
              <w:bottom w:val="single" w:color="000000" w:sz="4" w:space="0"/>
              <w:right w:val="single" w:color="000000" w:sz="4" w:space="0"/>
            </w:tcBorders>
            <w:vAlign w:val="center"/>
          </w:tcPr>
          <w:p>
            <w:pPr>
              <w:rPr>
                <w:rFonts w:ascii="宋体" w:hAnsi="宋体" w:cs="仿宋_GB2312"/>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trPr>
        <w:tc>
          <w:tcPr>
            <w:tcW w:w="17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通信地址</w:t>
            </w:r>
          </w:p>
        </w:tc>
        <w:tc>
          <w:tcPr>
            <w:tcW w:w="4620" w:type="dxa"/>
            <w:gridSpan w:val="7"/>
            <w:tcBorders>
              <w:top w:val="single" w:color="000000" w:sz="4" w:space="0"/>
              <w:left w:val="single" w:color="000000" w:sz="4" w:space="0"/>
              <w:bottom w:val="single" w:color="000000" w:sz="4" w:space="0"/>
              <w:right w:val="single" w:color="000000" w:sz="4" w:space="0"/>
            </w:tcBorders>
            <w:vAlign w:val="center"/>
          </w:tcPr>
          <w:p>
            <w:pPr>
              <w:rPr>
                <w:rFonts w:ascii="宋体" w:hAnsi="宋体" w:cs="仿宋_GB2312"/>
                <w:b/>
                <w:bCs/>
                <w:sz w:val="24"/>
              </w:rPr>
            </w:pPr>
          </w:p>
        </w:tc>
        <w:tc>
          <w:tcPr>
            <w:tcW w:w="9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邮编</w:t>
            </w:r>
          </w:p>
        </w:tc>
        <w:tc>
          <w:tcPr>
            <w:tcW w:w="16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178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联系人</w:t>
            </w:r>
          </w:p>
        </w:tc>
        <w:tc>
          <w:tcPr>
            <w:tcW w:w="140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p>
        </w:tc>
        <w:tc>
          <w:tcPr>
            <w:tcW w:w="140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联系方式</w:t>
            </w:r>
          </w:p>
        </w:tc>
        <w:tc>
          <w:tcPr>
            <w:tcW w:w="1820" w:type="dxa"/>
            <w:gridSpan w:val="3"/>
            <w:tcBorders>
              <w:top w:val="single" w:color="000000" w:sz="4" w:space="0"/>
              <w:left w:val="single" w:color="000000" w:sz="4" w:space="0"/>
              <w:bottom w:val="single" w:color="000000" w:sz="4" w:space="0"/>
              <w:right w:val="single" w:color="000000" w:sz="4" w:space="0"/>
            </w:tcBorders>
            <w:vAlign w:val="center"/>
          </w:tcPr>
          <w:p>
            <w:pPr>
              <w:rPr>
                <w:rFonts w:ascii="宋体" w:hAnsi="宋体" w:cs="仿宋_GB2312"/>
                <w:b/>
                <w:bCs/>
                <w:sz w:val="24"/>
              </w:rPr>
            </w:pPr>
          </w:p>
        </w:tc>
        <w:tc>
          <w:tcPr>
            <w:tcW w:w="9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传真</w:t>
            </w:r>
          </w:p>
        </w:tc>
        <w:tc>
          <w:tcPr>
            <w:tcW w:w="16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9068" w:type="dxa"/>
            <w:gridSpan w:val="1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煤炭指标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1" w:hRule="atLeast"/>
        </w:trPr>
        <w:tc>
          <w:tcPr>
            <w:tcW w:w="220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品种及产地</w:t>
            </w:r>
          </w:p>
        </w:tc>
        <w:tc>
          <w:tcPr>
            <w:tcW w:w="6860" w:type="dxa"/>
            <w:gridSpan w:val="9"/>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cs="仿宋_GB2312" w:asciiTheme="minorEastAsia" w:hAnsiTheme="minorEastAsia" w:eastAsiaTheme="minorEastAsia"/>
                <w:b/>
                <w:bCs/>
                <w:sz w:val="24"/>
              </w:rPr>
              <w:t>单一</w:t>
            </w:r>
            <w:r>
              <w:rPr>
                <w:rFonts w:hint="eastAsia" w:ascii="宋体" w:hAnsi="宋体" w:cs="仿宋_GB2312"/>
                <w:b/>
                <w:bCs/>
                <w:sz w:val="24"/>
              </w:rPr>
              <w:t>山西煤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2208" w:type="dxa"/>
            <w:gridSpan w:val="3"/>
            <w:vMerge w:val="restar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品质</w:t>
            </w:r>
          </w:p>
        </w:tc>
        <w:tc>
          <w:tcPr>
            <w:tcW w:w="238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Qnet.ar</w:t>
            </w:r>
          </w:p>
        </w:tc>
        <w:tc>
          <w:tcPr>
            <w:tcW w:w="182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大卡/千克</w:t>
            </w:r>
          </w:p>
        </w:tc>
        <w:tc>
          <w:tcPr>
            <w:tcW w:w="266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4900-5200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4" w:hRule="atLeast"/>
        </w:trPr>
        <w:tc>
          <w:tcPr>
            <w:tcW w:w="2208"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仿宋_GB2312"/>
                <w:b/>
                <w:bCs/>
                <w:sz w:val="24"/>
              </w:rPr>
            </w:pPr>
          </w:p>
        </w:tc>
        <w:tc>
          <w:tcPr>
            <w:tcW w:w="238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Vad</w:t>
            </w:r>
          </w:p>
        </w:tc>
        <w:tc>
          <w:tcPr>
            <w:tcW w:w="182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w:t>
            </w:r>
          </w:p>
        </w:tc>
        <w:tc>
          <w:tcPr>
            <w:tcW w:w="2660" w:type="dxa"/>
            <w:gridSpan w:val="3"/>
            <w:tcBorders>
              <w:top w:val="single" w:color="000000" w:sz="4" w:space="0"/>
              <w:left w:val="single" w:color="000000" w:sz="4" w:space="0"/>
              <w:bottom w:val="single" w:color="000000" w:sz="4" w:space="0"/>
              <w:right w:val="single" w:color="000000" w:sz="4" w:space="0"/>
            </w:tcBorders>
            <w:vAlign w:val="center"/>
          </w:tcPr>
          <w:p>
            <w:pPr>
              <w:pStyle w:val="8"/>
              <w:spacing w:line="360" w:lineRule="auto"/>
              <w:ind w:firstLine="0" w:firstLineChars="0"/>
              <w:jc w:val="center"/>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 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2208"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仿宋_GB2312"/>
                <w:b/>
                <w:bCs/>
                <w:sz w:val="24"/>
              </w:rPr>
            </w:pPr>
          </w:p>
        </w:tc>
        <w:tc>
          <w:tcPr>
            <w:tcW w:w="238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St.ar</w:t>
            </w:r>
          </w:p>
        </w:tc>
        <w:tc>
          <w:tcPr>
            <w:tcW w:w="182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w:t>
            </w:r>
          </w:p>
        </w:tc>
        <w:tc>
          <w:tcPr>
            <w:tcW w:w="266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cs="仿宋_GB2312" w:asciiTheme="minorEastAsia" w:hAnsiTheme="minorEastAsia" w:eastAsiaTheme="minorEastAsia"/>
                <w:b/>
                <w:bCs/>
                <w:sz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8" w:hRule="atLeast"/>
        </w:trPr>
        <w:tc>
          <w:tcPr>
            <w:tcW w:w="2208"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仿宋_GB2312"/>
                <w:b/>
                <w:bCs/>
                <w:sz w:val="24"/>
              </w:rPr>
            </w:pPr>
          </w:p>
        </w:tc>
        <w:tc>
          <w:tcPr>
            <w:tcW w:w="238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cs="仿宋_GB2312" w:asciiTheme="minorEastAsia" w:hAnsiTheme="minorEastAsia" w:eastAsiaTheme="minorEastAsia"/>
                <w:b/>
                <w:bCs/>
                <w:sz w:val="24"/>
              </w:rPr>
              <w:t>Mar</w:t>
            </w:r>
          </w:p>
        </w:tc>
        <w:tc>
          <w:tcPr>
            <w:tcW w:w="182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w:t>
            </w:r>
          </w:p>
        </w:tc>
        <w:tc>
          <w:tcPr>
            <w:tcW w:w="266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cs="仿宋_GB2312" w:asciiTheme="minorEastAsia" w:hAnsiTheme="minorEastAsia" w:eastAsiaTheme="minorEastAsia"/>
                <w:b/>
                <w:bCs/>
                <w:sz w:val="24"/>
              </w:rPr>
              <w:t>≤ 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2208"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仿宋_GB2312"/>
                <w:b/>
                <w:bCs/>
                <w:sz w:val="24"/>
              </w:rPr>
            </w:pPr>
          </w:p>
        </w:tc>
        <w:tc>
          <w:tcPr>
            <w:tcW w:w="238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ST</w:t>
            </w:r>
          </w:p>
        </w:tc>
        <w:tc>
          <w:tcPr>
            <w:tcW w:w="182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w:t>
            </w:r>
          </w:p>
        </w:tc>
        <w:tc>
          <w:tcPr>
            <w:tcW w:w="266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cs="仿宋_GB2312" w:asciiTheme="minorEastAsia" w:hAnsiTheme="minorEastAsia" w:eastAsiaTheme="minorEastAsia"/>
                <w:b/>
                <w:bCs/>
                <w:sz w:val="24"/>
              </w:rPr>
              <w:t>＞1350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2208"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仿宋_GB2312"/>
                <w:b/>
                <w:bCs/>
                <w:sz w:val="24"/>
              </w:rPr>
            </w:pPr>
          </w:p>
        </w:tc>
        <w:tc>
          <w:tcPr>
            <w:tcW w:w="238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HGI</w:t>
            </w:r>
          </w:p>
        </w:tc>
        <w:tc>
          <w:tcPr>
            <w:tcW w:w="182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p>
        </w:tc>
        <w:tc>
          <w:tcPr>
            <w:tcW w:w="266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cs="仿宋_GB2312" w:asciiTheme="minorEastAsia" w:hAnsiTheme="minorEastAsia" w:eastAsiaTheme="minorEastAsia"/>
                <w:b/>
                <w:bCs/>
                <w:sz w:val="24"/>
              </w:rPr>
              <w:t>＞ 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220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物理特性</w:t>
            </w:r>
          </w:p>
        </w:tc>
        <w:tc>
          <w:tcPr>
            <w:tcW w:w="6860" w:type="dxa"/>
            <w:gridSpan w:val="9"/>
            <w:tcBorders>
              <w:top w:val="single" w:color="000000" w:sz="4" w:space="0"/>
              <w:left w:val="single" w:color="000000" w:sz="4" w:space="0"/>
              <w:bottom w:val="single" w:color="000000" w:sz="4" w:space="0"/>
              <w:right w:val="single" w:color="000000" w:sz="4" w:space="0"/>
            </w:tcBorders>
            <w:vAlign w:val="center"/>
          </w:tcPr>
          <w:p>
            <w:pPr>
              <w:rPr>
                <w:rFonts w:ascii="宋体" w:hAnsi="宋体" w:cs="仿宋_GB2312"/>
                <w:b/>
                <w:bCs/>
                <w:sz w:val="24"/>
              </w:rPr>
            </w:pPr>
            <w:r>
              <w:rPr>
                <w:rFonts w:hint="eastAsia" w:cs="仿宋_GB2312" w:asciiTheme="minorEastAsia" w:hAnsiTheme="minorEastAsia" w:eastAsiaTheme="minorEastAsia"/>
                <w:b/>
                <w:bCs/>
                <w:sz w:val="24"/>
              </w:rPr>
              <w:t>流动性好，不湿不粘，均匀。标称粒度（mm）≤50。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20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cs="仿宋_GB2312" w:asciiTheme="minorEastAsia" w:hAnsiTheme="minorEastAsia" w:eastAsiaTheme="minorEastAsia"/>
                <w:b/>
                <w:bCs/>
                <w:sz w:val="24"/>
              </w:rPr>
              <w:t>一票含税现汇价</w:t>
            </w:r>
          </w:p>
        </w:tc>
        <w:tc>
          <w:tcPr>
            <w:tcW w:w="3220"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元/吨</w:t>
            </w:r>
          </w:p>
          <w:p>
            <w:pPr>
              <w:jc w:val="center"/>
              <w:rPr>
                <w:rFonts w:ascii="宋体" w:hAnsi="宋体" w:cs="仿宋_GB2312"/>
                <w:b/>
                <w:bCs/>
                <w:sz w:val="24"/>
              </w:rPr>
            </w:pPr>
            <w:r>
              <w:rPr>
                <w:rFonts w:hint="eastAsia" w:ascii="宋体" w:hAnsi="宋体" w:cs="仿宋_GB2312"/>
                <w:b/>
                <w:bCs/>
                <w:sz w:val="24"/>
              </w:rPr>
              <w:t>(以5000Kcal/kg为基准)</w:t>
            </w:r>
          </w:p>
        </w:tc>
        <w:tc>
          <w:tcPr>
            <w:tcW w:w="3640" w:type="dxa"/>
            <w:gridSpan w:val="5"/>
            <w:tcBorders>
              <w:top w:val="single" w:color="000000" w:sz="4" w:space="0"/>
              <w:left w:val="single" w:color="000000" w:sz="4" w:space="0"/>
              <w:bottom w:val="single" w:color="000000" w:sz="4" w:space="0"/>
              <w:right w:val="single" w:color="000000" w:sz="4" w:space="0"/>
            </w:tcBorders>
            <w:vAlign w:val="center"/>
          </w:tcPr>
          <w:p>
            <w:pPr>
              <w:rPr>
                <w:rFonts w:ascii="宋体" w:hAnsi="宋体" w:cs="仿宋_GB2312"/>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50" w:hRule="atLeast"/>
        </w:trPr>
        <w:tc>
          <w:tcPr>
            <w:tcW w:w="220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可售数量</w:t>
            </w:r>
          </w:p>
        </w:tc>
        <w:tc>
          <w:tcPr>
            <w:tcW w:w="3220"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万吨</w:t>
            </w:r>
          </w:p>
        </w:tc>
        <w:tc>
          <w:tcPr>
            <w:tcW w:w="3640"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220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交货时间</w:t>
            </w:r>
          </w:p>
        </w:tc>
        <w:tc>
          <w:tcPr>
            <w:tcW w:w="6860" w:type="dxa"/>
            <w:gridSpan w:val="9"/>
            <w:tcBorders>
              <w:top w:val="single" w:color="000000" w:sz="4" w:space="0"/>
              <w:left w:val="single" w:color="000000" w:sz="4" w:space="0"/>
              <w:bottom w:val="single" w:color="000000" w:sz="4" w:space="0"/>
              <w:right w:val="single" w:color="000000" w:sz="4" w:space="0"/>
            </w:tcBorders>
            <w:vAlign w:val="center"/>
          </w:tcPr>
          <w:p>
            <w:pPr>
              <w:spacing w:line="360" w:lineRule="auto"/>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5月10日至5月31日（5月10日必须抵达凰岗码头开始进厂）。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220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交货地点</w:t>
            </w:r>
          </w:p>
        </w:tc>
        <w:tc>
          <w:tcPr>
            <w:tcW w:w="6860" w:type="dxa"/>
            <w:gridSpan w:val="9"/>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cs="仿宋_GB2312" w:asciiTheme="minorEastAsia" w:hAnsiTheme="minorEastAsia" w:eastAsiaTheme="minorEastAsia"/>
                <w:b/>
                <w:bCs/>
                <w:sz w:val="24"/>
              </w:rPr>
              <w:t>景德镇电厂煤场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220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备    注</w:t>
            </w:r>
          </w:p>
        </w:tc>
        <w:tc>
          <w:tcPr>
            <w:tcW w:w="6860" w:type="dxa"/>
            <w:gridSpan w:val="9"/>
            <w:tcBorders>
              <w:top w:val="single" w:color="000000" w:sz="4" w:space="0"/>
              <w:left w:val="single" w:color="000000" w:sz="4" w:space="0"/>
              <w:bottom w:val="single" w:color="000000" w:sz="4" w:space="0"/>
              <w:right w:val="single" w:color="000000" w:sz="4" w:space="0"/>
            </w:tcBorders>
            <w:vAlign w:val="center"/>
          </w:tcPr>
          <w:p>
            <w:pPr>
              <w:jc w:val="center"/>
              <w:rPr>
                <w:rFonts w:cs="仿宋_GB2312" w:asciiTheme="minorEastAsia" w:hAnsiTheme="minorEastAsia" w:eastAsiaTheme="minorEastAsia"/>
                <w:b/>
                <w:bCs/>
                <w:sz w:val="24"/>
              </w:rPr>
            </w:pPr>
            <w:r>
              <w:rPr>
                <w:rFonts w:hint="eastAsia" w:cs="仿宋_GB2312" w:asciiTheme="minorEastAsia" w:hAnsiTheme="minorEastAsia" w:eastAsiaTheme="minorEastAsia"/>
                <w:b/>
                <w:bCs/>
                <w:sz w:val="24"/>
              </w:rPr>
              <w:t>一票结算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220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采购单位</w:t>
            </w:r>
          </w:p>
        </w:tc>
        <w:tc>
          <w:tcPr>
            <w:tcW w:w="6860" w:type="dxa"/>
            <w:gridSpan w:val="9"/>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宋体" w:hAnsi="宋体" w:cs="仿宋_GB2312"/>
                <w:b/>
                <w:bCs/>
                <w:sz w:val="24"/>
              </w:rPr>
            </w:pPr>
            <w:r>
              <w:rPr>
                <w:rFonts w:hint="eastAsia" w:ascii="宋体" w:hAnsi="宋体" w:cs="仿宋_GB2312"/>
                <w:b/>
                <w:bCs/>
                <w:sz w:val="24"/>
              </w:rPr>
              <w:t>江西新源燃料有限公司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trPr>
        <w:tc>
          <w:tcPr>
            <w:tcW w:w="220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通信地址</w:t>
            </w:r>
          </w:p>
        </w:tc>
        <w:tc>
          <w:tcPr>
            <w:tcW w:w="3640"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 xml:space="preserve"> </w:t>
            </w:r>
          </w:p>
        </w:tc>
        <w:tc>
          <w:tcPr>
            <w:tcW w:w="9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邮编</w:t>
            </w:r>
          </w:p>
        </w:tc>
        <w:tc>
          <w:tcPr>
            <w:tcW w:w="22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08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联系人</w:t>
            </w:r>
          </w:p>
        </w:tc>
        <w:tc>
          <w:tcPr>
            <w:tcW w:w="112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p>
        </w:tc>
        <w:tc>
          <w:tcPr>
            <w:tcW w:w="15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联系方式</w:t>
            </w:r>
          </w:p>
        </w:tc>
        <w:tc>
          <w:tcPr>
            <w:tcW w:w="210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p>
        </w:tc>
        <w:tc>
          <w:tcPr>
            <w:tcW w:w="9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传真</w:t>
            </w:r>
          </w:p>
        </w:tc>
        <w:tc>
          <w:tcPr>
            <w:tcW w:w="22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_GB2312"/>
                <w:b/>
                <w:bCs/>
                <w:sz w:val="24"/>
              </w:rPr>
            </w:pPr>
            <w:r>
              <w:rPr>
                <w:rFonts w:hint="eastAsia" w:ascii="宋体" w:hAnsi="宋体" w:cs="仿宋_GB2312"/>
                <w:b/>
                <w:bCs/>
                <w:sz w:val="24"/>
              </w:rPr>
              <w:t xml:space="preserve"> </w:t>
            </w:r>
          </w:p>
        </w:tc>
      </w:tr>
    </w:tbl>
    <w:p>
      <w:pPr>
        <w:jc w:val="center"/>
        <w:rPr>
          <w:rFonts w:cs="宋体"/>
          <w:b/>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617CE4"/>
    <w:multiLevelType w:val="multilevel"/>
    <w:tmpl w:val="69617CE4"/>
    <w:lvl w:ilvl="0" w:tentative="0">
      <w:start w:val="3"/>
      <w:numFmt w:val="japaneseCounting"/>
      <w:lvlText w:val="%1、"/>
      <w:lvlJc w:val="left"/>
      <w:pPr>
        <w:ind w:left="986" w:hanging="504"/>
      </w:pPr>
      <w:rPr>
        <w:rFonts w:hint="default" w:ascii="宋体" w:hAnsi="宋体" w:cs="仿宋_GB2312"/>
        <w:b/>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6B7"/>
    <w:rsid w:val="00000B4C"/>
    <w:rsid w:val="0000594C"/>
    <w:rsid w:val="0001248E"/>
    <w:rsid w:val="00014552"/>
    <w:rsid w:val="0002162C"/>
    <w:rsid w:val="00021F65"/>
    <w:rsid w:val="00024071"/>
    <w:rsid w:val="00024C2C"/>
    <w:rsid w:val="000323C1"/>
    <w:rsid w:val="000330F1"/>
    <w:rsid w:val="00037243"/>
    <w:rsid w:val="0005335C"/>
    <w:rsid w:val="0005461B"/>
    <w:rsid w:val="00057F56"/>
    <w:rsid w:val="00060FFD"/>
    <w:rsid w:val="0007066A"/>
    <w:rsid w:val="000770F4"/>
    <w:rsid w:val="00080AFE"/>
    <w:rsid w:val="000A445D"/>
    <w:rsid w:val="000A48E5"/>
    <w:rsid w:val="000A4BE1"/>
    <w:rsid w:val="000A575F"/>
    <w:rsid w:val="000B3996"/>
    <w:rsid w:val="000C4383"/>
    <w:rsid w:val="000C515B"/>
    <w:rsid w:val="000D25ED"/>
    <w:rsid w:val="000E15E5"/>
    <w:rsid w:val="000E1EC7"/>
    <w:rsid w:val="000E68E1"/>
    <w:rsid w:val="000F0A40"/>
    <w:rsid w:val="000F1B90"/>
    <w:rsid w:val="001013F3"/>
    <w:rsid w:val="001112F0"/>
    <w:rsid w:val="001202FA"/>
    <w:rsid w:val="001244BE"/>
    <w:rsid w:val="001251FD"/>
    <w:rsid w:val="00126085"/>
    <w:rsid w:val="00136B79"/>
    <w:rsid w:val="001517BE"/>
    <w:rsid w:val="00154213"/>
    <w:rsid w:val="00156397"/>
    <w:rsid w:val="001630A4"/>
    <w:rsid w:val="001666BD"/>
    <w:rsid w:val="001669BF"/>
    <w:rsid w:val="0017576B"/>
    <w:rsid w:val="00181655"/>
    <w:rsid w:val="00184C46"/>
    <w:rsid w:val="0018562F"/>
    <w:rsid w:val="00187E1F"/>
    <w:rsid w:val="00197E41"/>
    <w:rsid w:val="001A0974"/>
    <w:rsid w:val="001A5AB6"/>
    <w:rsid w:val="001B464F"/>
    <w:rsid w:val="001B650F"/>
    <w:rsid w:val="001C0984"/>
    <w:rsid w:val="001C2A9F"/>
    <w:rsid w:val="001D0953"/>
    <w:rsid w:val="001D261E"/>
    <w:rsid w:val="001E7470"/>
    <w:rsid w:val="001F720F"/>
    <w:rsid w:val="00202C75"/>
    <w:rsid w:val="0020526E"/>
    <w:rsid w:val="0020601A"/>
    <w:rsid w:val="00206C59"/>
    <w:rsid w:val="00214E0C"/>
    <w:rsid w:val="002243AB"/>
    <w:rsid w:val="002368E1"/>
    <w:rsid w:val="00265257"/>
    <w:rsid w:val="002729C8"/>
    <w:rsid w:val="00275920"/>
    <w:rsid w:val="00276B4F"/>
    <w:rsid w:val="00280816"/>
    <w:rsid w:val="002877B5"/>
    <w:rsid w:val="00296A19"/>
    <w:rsid w:val="002B4220"/>
    <w:rsid w:val="002B6080"/>
    <w:rsid w:val="002C413D"/>
    <w:rsid w:val="002C7E03"/>
    <w:rsid w:val="002D662F"/>
    <w:rsid w:val="002E483C"/>
    <w:rsid w:val="002F57F4"/>
    <w:rsid w:val="002F61AB"/>
    <w:rsid w:val="0030004E"/>
    <w:rsid w:val="00302533"/>
    <w:rsid w:val="00306F9F"/>
    <w:rsid w:val="0031222C"/>
    <w:rsid w:val="0031722B"/>
    <w:rsid w:val="00320032"/>
    <w:rsid w:val="00321C07"/>
    <w:rsid w:val="00323E45"/>
    <w:rsid w:val="00324A18"/>
    <w:rsid w:val="00332C3A"/>
    <w:rsid w:val="003330E6"/>
    <w:rsid w:val="00335242"/>
    <w:rsid w:val="00342CB9"/>
    <w:rsid w:val="0034358D"/>
    <w:rsid w:val="00345CB9"/>
    <w:rsid w:val="0034707A"/>
    <w:rsid w:val="003525FC"/>
    <w:rsid w:val="003526B7"/>
    <w:rsid w:val="0037419D"/>
    <w:rsid w:val="00375AC8"/>
    <w:rsid w:val="00395AE9"/>
    <w:rsid w:val="00396EAF"/>
    <w:rsid w:val="003A4EF2"/>
    <w:rsid w:val="003B48D1"/>
    <w:rsid w:val="003C638A"/>
    <w:rsid w:val="003D0378"/>
    <w:rsid w:val="003D680F"/>
    <w:rsid w:val="003E1099"/>
    <w:rsid w:val="003E40EE"/>
    <w:rsid w:val="003E4DEF"/>
    <w:rsid w:val="003E67EC"/>
    <w:rsid w:val="003F01FE"/>
    <w:rsid w:val="003F70F5"/>
    <w:rsid w:val="0041343B"/>
    <w:rsid w:val="004167ED"/>
    <w:rsid w:val="0042303B"/>
    <w:rsid w:val="00423FC1"/>
    <w:rsid w:val="00430115"/>
    <w:rsid w:val="00430177"/>
    <w:rsid w:val="004350FB"/>
    <w:rsid w:val="0043521F"/>
    <w:rsid w:val="00445F17"/>
    <w:rsid w:val="00451AC9"/>
    <w:rsid w:val="00453A7B"/>
    <w:rsid w:val="0046206C"/>
    <w:rsid w:val="004714F6"/>
    <w:rsid w:val="004737DD"/>
    <w:rsid w:val="00480CDF"/>
    <w:rsid w:val="004843A5"/>
    <w:rsid w:val="004966AD"/>
    <w:rsid w:val="004A12C4"/>
    <w:rsid w:val="004A2505"/>
    <w:rsid w:val="004A286F"/>
    <w:rsid w:val="004B3161"/>
    <w:rsid w:val="004B3E27"/>
    <w:rsid w:val="004C3C8C"/>
    <w:rsid w:val="004C643B"/>
    <w:rsid w:val="004E3483"/>
    <w:rsid w:val="004F02E9"/>
    <w:rsid w:val="004F31DD"/>
    <w:rsid w:val="004F4128"/>
    <w:rsid w:val="004F701F"/>
    <w:rsid w:val="005020E6"/>
    <w:rsid w:val="005032DB"/>
    <w:rsid w:val="00507345"/>
    <w:rsid w:val="00507919"/>
    <w:rsid w:val="00510B0D"/>
    <w:rsid w:val="005117C3"/>
    <w:rsid w:val="00513699"/>
    <w:rsid w:val="00516B01"/>
    <w:rsid w:val="00520ED8"/>
    <w:rsid w:val="005311DE"/>
    <w:rsid w:val="00543381"/>
    <w:rsid w:val="005447D0"/>
    <w:rsid w:val="00545B59"/>
    <w:rsid w:val="005500E3"/>
    <w:rsid w:val="005502FD"/>
    <w:rsid w:val="00557329"/>
    <w:rsid w:val="00560A41"/>
    <w:rsid w:val="0056150D"/>
    <w:rsid w:val="005620D1"/>
    <w:rsid w:val="00562A2B"/>
    <w:rsid w:val="00563613"/>
    <w:rsid w:val="0056540F"/>
    <w:rsid w:val="00566D2A"/>
    <w:rsid w:val="00581900"/>
    <w:rsid w:val="00581ED0"/>
    <w:rsid w:val="00582B87"/>
    <w:rsid w:val="005843CB"/>
    <w:rsid w:val="00591832"/>
    <w:rsid w:val="005926CF"/>
    <w:rsid w:val="005956A7"/>
    <w:rsid w:val="00595E4E"/>
    <w:rsid w:val="005967B3"/>
    <w:rsid w:val="005A3987"/>
    <w:rsid w:val="005B07FA"/>
    <w:rsid w:val="005B33DD"/>
    <w:rsid w:val="005C7BB7"/>
    <w:rsid w:val="005D00C4"/>
    <w:rsid w:val="005E4E8E"/>
    <w:rsid w:val="005E7F40"/>
    <w:rsid w:val="005F3ABB"/>
    <w:rsid w:val="006004C8"/>
    <w:rsid w:val="00601C44"/>
    <w:rsid w:val="00602AD6"/>
    <w:rsid w:val="00603031"/>
    <w:rsid w:val="006179D0"/>
    <w:rsid w:val="006201C6"/>
    <w:rsid w:val="006361AC"/>
    <w:rsid w:val="00637429"/>
    <w:rsid w:val="00640916"/>
    <w:rsid w:val="006441F1"/>
    <w:rsid w:val="00650890"/>
    <w:rsid w:val="00654814"/>
    <w:rsid w:val="006820BF"/>
    <w:rsid w:val="00687D7F"/>
    <w:rsid w:val="006A7439"/>
    <w:rsid w:val="006B349E"/>
    <w:rsid w:val="006C58AB"/>
    <w:rsid w:val="006C6FB0"/>
    <w:rsid w:val="006D08DA"/>
    <w:rsid w:val="006D79DC"/>
    <w:rsid w:val="006E59F5"/>
    <w:rsid w:val="006E7004"/>
    <w:rsid w:val="00701E12"/>
    <w:rsid w:val="00702810"/>
    <w:rsid w:val="00705161"/>
    <w:rsid w:val="00717CFC"/>
    <w:rsid w:val="00722035"/>
    <w:rsid w:val="007241DE"/>
    <w:rsid w:val="00734864"/>
    <w:rsid w:val="00743394"/>
    <w:rsid w:val="00744D30"/>
    <w:rsid w:val="00745DF7"/>
    <w:rsid w:val="007541AB"/>
    <w:rsid w:val="00757A76"/>
    <w:rsid w:val="00763925"/>
    <w:rsid w:val="00763E5F"/>
    <w:rsid w:val="0077184F"/>
    <w:rsid w:val="00776CCE"/>
    <w:rsid w:val="00777302"/>
    <w:rsid w:val="0078676E"/>
    <w:rsid w:val="007939C1"/>
    <w:rsid w:val="007A28E4"/>
    <w:rsid w:val="007B7CD4"/>
    <w:rsid w:val="007B7EA0"/>
    <w:rsid w:val="007C07FC"/>
    <w:rsid w:val="007D172D"/>
    <w:rsid w:val="007D32D2"/>
    <w:rsid w:val="007E180A"/>
    <w:rsid w:val="007E537E"/>
    <w:rsid w:val="007F5100"/>
    <w:rsid w:val="008266E7"/>
    <w:rsid w:val="00831519"/>
    <w:rsid w:val="008369C1"/>
    <w:rsid w:val="00843BBC"/>
    <w:rsid w:val="0085516F"/>
    <w:rsid w:val="00875857"/>
    <w:rsid w:val="00882F4F"/>
    <w:rsid w:val="00887C8F"/>
    <w:rsid w:val="00891929"/>
    <w:rsid w:val="00892A1A"/>
    <w:rsid w:val="00894CE2"/>
    <w:rsid w:val="00896BAF"/>
    <w:rsid w:val="0089729C"/>
    <w:rsid w:val="008A132F"/>
    <w:rsid w:val="008A2AD7"/>
    <w:rsid w:val="008B08B5"/>
    <w:rsid w:val="008B2A15"/>
    <w:rsid w:val="008B57AA"/>
    <w:rsid w:val="008B78A8"/>
    <w:rsid w:val="008C5BF1"/>
    <w:rsid w:val="008D032F"/>
    <w:rsid w:val="008D0846"/>
    <w:rsid w:val="008E6C3F"/>
    <w:rsid w:val="008F4090"/>
    <w:rsid w:val="009010A2"/>
    <w:rsid w:val="00902003"/>
    <w:rsid w:val="0090560E"/>
    <w:rsid w:val="00906A8F"/>
    <w:rsid w:val="00907ED3"/>
    <w:rsid w:val="00912E75"/>
    <w:rsid w:val="009133AB"/>
    <w:rsid w:val="00917C13"/>
    <w:rsid w:val="00930814"/>
    <w:rsid w:val="009356D0"/>
    <w:rsid w:val="00942237"/>
    <w:rsid w:val="00946626"/>
    <w:rsid w:val="00952E1C"/>
    <w:rsid w:val="00954D48"/>
    <w:rsid w:val="009556A9"/>
    <w:rsid w:val="00961D44"/>
    <w:rsid w:val="00962B52"/>
    <w:rsid w:val="00967E73"/>
    <w:rsid w:val="009745EC"/>
    <w:rsid w:val="00981896"/>
    <w:rsid w:val="00995EC6"/>
    <w:rsid w:val="00997F84"/>
    <w:rsid w:val="009A5088"/>
    <w:rsid w:val="009B1BC4"/>
    <w:rsid w:val="009C1744"/>
    <w:rsid w:val="009E2D75"/>
    <w:rsid w:val="009E748B"/>
    <w:rsid w:val="009F02AA"/>
    <w:rsid w:val="009F389F"/>
    <w:rsid w:val="00A06D59"/>
    <w:rsid w:val="00A105E0"/>
    <w:rsid w:val="00A23298"/>
    <w:rsid w:val="00A26DC1"/>
    <w:rsid w:val="00A37FE9"/>
    <w:rsid w:val="00A40128"/>
    <w:rsid w:val="00A5507F"/>
    <w:rsid w:val="00A55229"/>
    <w:rsid w:val="00A56EE4"/>
    <w:rsid w:val="00A6682D"/>
    <w:rsid w:val="00A71AE5"/>
    <w:rsid w:val="00A74D6B"/>
    <w:rsid w:val="00A84AFE"/>
    <w:rsid w:val="00A91509"/>
    <w:rsid w:val="00A91BC1"/>
    <w:rsid w:val="00AA45FE"/>
    <w:rsid w:val="00AB5589"/>
    <w:rsid w:val="00AC00C9"/>
    <w:rsid w:val="00AD4682"/>
    <w:rsid w:val="00AD715A"/>
    <w:rsid w:val="00AE4C2A"/>
    <w:rsid w:val="00AF4A6D"/>
    <w:rsid w:val="00B0561E"/>
    <w:rsid w:val="00B10469"/>
    <w:rsid w:val="00B12311"/>
    <w:rsid w:val="00B232FF"/>
    <w:rsid w:val="00B2343C"/>
    <w:rsid w:val="00B24125"/>
    <w:rsid w:val="00B24509"/>
    <w:rsid w:val="00B41930"/>
    <w:rsid w:val="00B4571D"/>
    <w:rsid w:val="00B6391F"/>
    <w:rsid w:val="00B70674"/>
    <w:rsid w:val="00B714B1"/>
    <w:rsid w:val="00B72DCD"/>
    <w:rsid w:val="00B746F6"/>
    <w:rsid w:val="00B81F52"/>
    <w:rsid w:val="00B82B1D"/>
    <w:rsid w:val="00B96AD4"/>
    <w:rsid w:val="00BA1C84"/>
    <w:rsid w:val="00BA2532"/>
    <w:rsid w:val="00BA5526"/>
    <w:rsid w:val="00BA5FF5"/>
    <w:rsid w:val="00BB33A0"/>
    <w:rsid w:val="00BB7CCB"/>
    <w:rsid w:val="00BC11D3"/>
    <w:rsid w:val="00BC75DA"/>
    <w:rsid w:val="00BD083B"/>
    <w:rsid w:val="00BD0FD3"/>
    <w:rsid w:val="00BD32E8"/>
    <w:rsid w:val="00BE0F73"/>
    <w:rsid w:val="00BE35A0"/>
    <w:rsid w:val="00BE384A"/>
    <w:rsid w:val="00BF1260"/>
    <w:rsid w:val="00BF13ED"/>
    <w:rsid w:val="00BF19B2"/>
    <w:rsid w:val="00C059C4"/>
    <w:rsid w:val="00C20408"/>
    <w:rsid w:val="00C25439"/>
    <w:rsid w:val="00C323E1"/>
    <w:rsid w:val="00C34CD9"/>
    <w:rsid w:val="00C36027"/>
    <w:rsid w:val="00C37FD5"/>
    <w:rsid w:val="00C6107B"/>
    <w:rsid w:val="00C675DC"/>
    <w:rsid w:val="00C74594"/>
    <w:rsid w:val="00C80305"/>
    <w:rsid w:val="00C838C7"/>
    <w:rsid w:val="00C93E36"/>
    <w:rsid w:val="00C966EE"/>
    <w:rsid w:val="00CA24F3"/>
    <w:rsid w:val="00CA531D"/>
    <w:rsid w:val="00CC1201"/>
    <w:rsid w:val="00CC71B6"/>
    <w:rsid w:val="00CD2BB6"/>
    <w:rsid w:val="00CD7A35"/>
    <w:rsid w:val="00CF1919"/>
    <w:rsid w:val="00CF3317"/>
    <w:rsid w:val="00D052E0"/>
    <w:rsid w:val="00D068CA"/>
    <w:rsid w:val="00D112B9"/>
    <w:rsid w:val="00D14F62"/>
    <w:rsid w:val="00D25823"/>
    <w:rsid w:val="00D301AF"/>
    <w:rsid w:val="00D36B74"/>
    <w:rsid w:val="00D43B8B"/>
    <w:rsid w:val="00D528B8"/>
    <w:rsid w:val="00D570B9"/>
    <w:rsid w:val="00D577AF"/>
    <w:rsid w:val="00D64E69"/>
    <w:rsid w:val="00D77CB9"/>
    <w:rsid w:val="00D81806"/>
    <w:rsid w:val="00D84060"/>
    <w:rsid w:val="00D8560C"/>
    <w:rsid w:val="00D86A97"/>
    <w:rsid w:val="00D93056"/>
    <w:rsid w:val="00DA14E7"/>
    <w:rsid w:val="00DA3D65"/>
    <w:rsid w:val="00DA4FD5"/>
    <w:rsid w:val="00DB55B1"/>
    <w:rsid w:val="00DC5849"/>
    <w:rsid w:val="00DC6456"/>
    <w:rsid w:val="00DD5B6F"/>
    <w:rsid w:val="00DE0239"/>
    <w:rsid w:val="00DE7300"/>
    <w:rsid w:val="00DF0668"/>
    <w:rsid w:val="00DF1607"/>
    <w:rsid w:val="00E024F2"/>
    <w:rsid w:val="00E1680E"/>
    <w:rsid w:val="00E41D90"/>
    <w:rsid w:val="00E4559E"/>
    <w:rsid w:val="00E47520"/>
    <w:rsid w:val="00E532D5"/>
    <w:rsid w:val="00E578D7"/>
    <w:rsid w:val="00E75BDB"/>
    <w:rsid w:val="00E83121"/>
    <w:rsid w:val="00E90F51"/>
    <w:rsid w:val="00E94C9F"/>
    <w:rsid w:val="00EA0DB1"/>
    <w:rsid w:val="00EA2F6A"/>
    <w:rsid w:val="00EB12DB"/>
    <w:rsid w:val="00EB30A2"/>
    <w:rsid w:val="00EB47A0"/>
    <w:rsid w:val="00EC35EA"/>
    <w:rsid w:val="00ED3E74"/>
    <w:rsid w:val="00ED79C1"/>
    <w:rsid w:val="00EF0532"/>
    <w:rsid w:val="00EF1C34"/>
    <w:rsid w:val="00EF4678"/>
    <w:rsid w:val="00EF6BCC"/>
    <w:rsid w:val="00EF6FDB"/>
    <w:rsid w:val="00F05B92"/>
    <w:rsid w:val="00F23346"/>
    <w:rsid w:val="00F25D84"/>
    <w:rsid w:val="00F34630"/>
    <w:rsid w:val="00F42F38"/>
    <w:rsid w:val="00F67DC9"/>
    <w:rsid w:val="00F734C4"/>
    <w:rsid w:val="00F77A61"/>
    <w:rsid w:val="00F81810"/>
    <w:rsid w:val="00F96137"/>
    <w:rsid w:val="00FA14B5"/>
    <w:rsid w:val="00FA4A3D"/>
    <w:rsid w:val="00FB2BE1"/>
    <w:rsid w:val="00FB400E"/>
    <w:rsid w:val="00FB4054"/>
    <w:rsid w:val="00FC1553"/>
    <w:rsid w:val="00FC31DB"/>
    <w:rsid w:val="00FC3F59"/>
    <w:rsid w:val="00FD3616"/>
    <w:rsid w:val="00FD3B59"/>
    <w:rsid w:val="00FE1728"/>
    <w:rsid w:val="00FE1FA8"/>
    <w:rsid w:val="00FE3722"/>
    <w:rsid w:val="00FE3F65"/>
    <w:rsid w:val="4D833D40"/>
    <w:rsid w:val="73D92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paragraph" w:customStyle="1" w:styleId="8">
    <w:name w:val="列出段落1"/>
    <w:basedOn w:val="1"/>
    <w:uiPriority w:val="0"/>
    <w:pPr>
      <w:ind w:firstLine="420" w:firstLineChars="200"/>
    </w:pPr>
    <w:rPr>
      <w:rFonts w:ascii="Calibri" w:hAnsi="Calibri" w:cs="Calibri"/>
      <w:szCs w:val="21"/>
    </w:rPr>
  </w:style>
  <w:style w:type="character" w:customStyle="1" w:styleId="9">
    <w:name w:val="页眉 Char"/>
    <w:basedOn w:val="6"/>
    <w:link w:val="4"/>
    <w:semiHidden/>
    <w:uiPriority w:val="99"/>
    <w:rPr>
      <w:rFonts w:ascii="Times New Roman" w:hAnsi="Times New Roman" w:eastAsia="宋体" w:cs="Times New Roman"/>
      <w:sz w:val="18"/>
      <w:szCs w:val="18"/>
    </w:rPr>
  </w:style>
  <w:style w:type="character" w:customStyle="1" w:styleId="10">
    <w:name w:val="页脚 Char"/>
    <w:basedOn w:val="6"/>
    <w:link w:val="3"/>
    <w:semiHidden/>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 w:type="character" w:customStyle="1" w:styleId="12">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472</Words>
  <Characters>2691</Characters>
  <Lines>22</Lines>
  <Paragraphs>6</Paragraphs>
  <TotalTime>0</TotalTime>
  <ScaleCrop>false</ScaleCrop>
  <LinksUpToDate>false</LinksUpToDate>
  <CharactersWithSpaces>3157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2019-05-14T06:43:00Z</dcterms:created>
  <dc:creator>PC</dc:creator>
  <cp:lastModifiedBy>陆远</cp:lastModifiedBy>
  <cp:lastPrinted>2019-12-20T04:46:00Z</cp:lastPrinted>
  <dcterms:modified xsi:type="dcterms:W3CDTF">2020-04-16T09:20:36Z</dcterms:modified>
  <cp:revision>283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